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0F" w:rsidRPr="00EA0188" w:rsidRDefault="0025260F" w:rsidP="00EA0188">
      <w:pPr>
        <w:jc w:val="center"/>
        <w:rPr>
          <w:rFonts w:asciiTheme="minorHAnsi" w:hAnsiTheme="minorHAnsi" w:cstheme="minorHAnsi"/>
          <w:b/>
          <w:snapToGrid w:val="0"/>
          <w:sz w:val="28"/>
          <w:szCs w:val="28"/>
          <w:u w:val="single"/>
        </w:rPr>
      </w:pPr>
      <w:r w:rsidRPr="00EA0188">
        <w:rPr>
          <w:rFonts w:asciiTheme="minorHAnsi" w:hAnsiTheme="minorHAnsi" w:cstheme="minorHAnsi"/>
          <w:b/>
          <w:snapToGrid w:val="0"/>
          <w:sz w:val="28"/>
          <w:szCs w:val="28"/>
          <w:u w:val="single"/>
        </w:rPr>
        <w:t xml:space="preserve">MEMÓRIA E METODOLOGIA DE CÁLCULO DA RECEITA </w:t>
      </w:r>
    </w:p>
    <w:p w:rsidR="0025260F" w:rsidRPr="00036BD6" w:rsidRDefault="0025260F" w:rsidP="0025260F">
      <w:pPr>
        <w:ind w:left="1418"/>
        <w:jc w:val="center"/>
        <w:rPr>
          <w:rFonts w:asciiTheme="minorHAnsi" w:hAnsiTheme="minorHAnsi" w:cstheme="minorHAnsi"/>
          <w:b/>
          <w:snapToGrid w:val="0"/>
          <w:sz w:val="21"/>
          <w:szCs w:val="21"/>
        </w:rPr>
      </w:pPr>
    </w:p>
    <w:p w:rsidR="0025260F" w:rsidRPr="00EA0188" w:rsidRDefault="002F2261" w:rsidP="00A709E4">
      <w:pPr>
        <w:pStyle w:val="Corpodetexto21"/>
        <w:tabs>
          <w:tab w:val="left" w:pos="0"/>
        </w:tabs>
        <w:spacing w:before="0" w:line="240" w:lineRule="auto"/>
        <w:ind w:firstLine="709"/>
        <w:rPr>
          <w:rFonts w:asciiTheme="minorHAnsi" w:hAnsiTheme="minorHAnsi" w:cstheme="minorHAnsi"/>
          <w:snapToGrid w:val="0"/>
          <w:sz w:val="21"/>
          <w:szCs w:val="21"/>
        </w:rPr>
      </w:pPr>
      <w:r>
        <w:rPr>
          <w:rFonts w:asciiTheme="minorHAnsi" w:hAnsiTheme="minorHAnsi" w:cstheme="minorHAnsi"/>
          <w:snapToGrid w:val="0"/>
          <w:sz w:val="21"/>
          <w:szCs w:val="21"/>
        </w:rPr>
        <w:t>-</w:t>
      </w:r>
      <w:r w:rsidR="0025260F" w:rsidRPr="00EA0188">
        <w:rPr>
          <w:rFonts w:asciiTheme="minorHAnsi" w:hAnsiTheme="minorHAnsi" w:cstheme="minorHAnsi"/>
          <w:snapToGrid w:val="0"/>
          <w:sz w:val="21"/>
          <w:szCs w:val="21"/>
        </w:rPr>
        <w:t xml:space="preserve"> Os valores referentes aos exercícios de </w:t>
      </w:r>
      <w:r w:rsidR="00243B6E" w:rsidRPr="00EA0188">
        <w:rPr>
          <w:rFonts w:asciiTheme="minorHAnsi" w:hAnsiTheme="minorHAnsi" w:cstheme="minorHAnsi"/>
          <w:snapToGrid w:val="0"/>
          <w:sz w:val="21"/>
          <w:szCs w:val="21"/>
        </w:rPr>
        <w:t>201</w:t>
      </w:r>
      <w:r w:rsidR="00F05C7D">
        <w:rPr>
          <w:rFonts w:asciiTheme="minorHAnsi" w:hAnsiTheme="minorHAnsi" w:cstheme="minorHAnsi"/>
          <w:snapToGrid w:val="0"/>
          <w:sz w:val="21"/>
          <w:szCs w:val="21"/>
        </w:rPr>
        <w:t>6</w:t>
      </w:r>
      <w:r w:rsidR="00867BAD" w:rsidRPr="00EA0188">
        <w:rPr>
          <w:rFonts w:asciiTheme="minorHAnsi" w:hAnsiTheme="minorHAnsi" w:cstheme="minorHAnsi"/>
          <w:snapToGrid w:val="0"/>
          <w:sz w:val="21"/>
          <w:szCs w:val="21"/>
        </w:rPr>
        <w:t>,</w:t>
      </w:r>
      <w:r w:rsidR="00243B6E" w:rsidRPr="00EA0188">
        <w:rPr>
          <w:rFonts w:asciiTheme="minorHAnsi" w:hAnsiTheme="minorHAnsi" w:cstheme="minorHAnsi"/>
          <w:snapToGrid w:val="0"/>
          <w:sz w:val="21"/>
          <w:szCs w:val="21"/>
        </w:rPr>
        <w:t xml:space="preserve"> 201</w:t>
      </w:r>
      <w:r w:rsidR="00F05C7D">
        <w:rPr>
          <w:rFonts w:asciiTheme="minorHAnsi" w:hAnsiTheme="minorHAnsi" w:cstheme="minorHAnsi"/>
          <w:snapToGrid w:val="0"/>
          <w:sz w:val="21"/>
          <w:szCs w:val="21"/>
        </w:rPr>
        <w:t>7</w:t>
      </w:r>
      <w:r w:rsidR="0025260F" w:rsidRPr="00EA0188">
        <w:rPr>
          <w:rFonts w:asciiTheme="minorHAnsi" w:hAnsiTheme="minorHAnsi" w:cstheme="minorHAnsi"/>
          <w:snapToGrid w:val="0"/>
          <w:sz w:val="21"/>
          <w:szCs w:val="21"/>
        </w:rPr>
        <w:t xml:space="preserve"> </w:t>
      </w:r>
      <w:r w:rsidR="00243B6E" w:rsidRPr="00EA0188">
        <w:rPr>
          <w:rFonts w:asciiTheme="minorHAnsi" w:hAnsiTheme="minorHAnsi" w:cstheme="minorHAnsi"/>
          <w:snapToGrid w:val="0"/>
          <w:sz w:val="21"/>
          <w:szCs w:val="21"/>
        </w:rPr>
        <w:t>e 201</w:t>
      </w:r>
      <w:r w:rsidR="00F05C7D">
        <w:rPr>
          <w:rFonts w:asciiTheme="minorHAnsi" w:hAnsiTheme="minorHAnsi" w:cstheme="minorHAnsi"/>
          <w:snapToGrid w:val="0"/>
          <w:sz w:val="21"/>
          <w:szCs w:val="21"/>
        </w:rPr>
        <w:t>8</w:t>
      </w:r>
      <w:r w:rsidR="00867BAD" w:rsidRPr="00EA0188">
        <w:rPr>
          <w:rFonts w:asciiTheme="minorHAnsi" w:hAnsiTheme="minorHAnsi" w:cstheme="minorHAnsi"/>
          <w:snapToGrid w:val="0"/>
          <w:sz w:val="21"/>
          <w:szCs w:val="21"/>
        </w:rPr>
        <w:t xml:space="preserve"> </w:t>
      </w:r>
      <w:r w:rsidR="0025260F" w:rsidRPr="00EA0188">
        <w:rPr>
          <w:rFonts w:asciiTheme="minorHAnsi" w:hAnsiTheme="minorHAnsi" w:cstheme="minorHAnsi"/>
          <w:snapToGrid w:val="0"/>
          <w:sz w:val="21"/>
          <w:szCs w:val="21"/>
        </w:rPr>
        <w:t xml:space="preserve">foram obtidos a partir dos dados constantes nos respectivos balanços anuais. </w:t>
      </w:r>
    </w:p>
    <w:p w:rsidR="0025260F" w:rsidRPr="00EA0188" w:rsidRDefault="0025260F" w:rsidP="0025260F">
      <w:pPr>
        <w:pStyle w:val="Corpodetexto21"/>
        <w:tabs>
          <w:tab w:val="left" w:pos="708"/>
        </w:tabs>
        <w:spacing w:before="0" w:line="240" w:lineRule="auto"/>
        <w:rPr>
          <w:rFonts w:asciiTheme="minorHAnsi" w:hAnsiTheme="minorHAnsi" w:cstheme="minorHAnsi"/>
          <w:snapToGrid w:val="0"/>
          <w:sz w:val="21"/>
          <w:szCs w:val="21"/>
        </w:rPr>
      </w:pPr>
      <w:r w:rsidRPr="00EA0188">
        <w:rPr>
          <w:rFonts w:asciiTheme="minorHAnsi" w:hAnsiTheme="minorHAnsi" w:cstheme="minorHAnsi"/>
          <w:snapToGrid w:val="0"/>
          <w:sz w:val="21"/>
          <w:szCs w:val="21"/>
        </w:rPr>
        <w:t xml:space="preserve"> </w:t>
      </w:r>
    </w:p>
    <w:p w:rsidR="0025260F" w:rsidRPr="00EA0188" w:rsidRDefault="0025260F" w:rsidP="0025260F">
      <w:pPr>
        <w:jc w:val="both"/>
        <w:rPr>
          <w:rFonts w:asciiTheme="minorHAnsi" w:hAnsiTheme="minorHAnsi" w:cstheme="minorHAnsi"/>
          <w:snapToGrid w:val="0"/>
          <w:sz w:val="21"/>
          <w:szCs w:val="21"/>
        </w:rPr>
      </w:pPr>
      <w:r w:rsidRPr="00EA0188">
        <w:rPr>
          <w:rFonts w:asciiTheme="minorHAnsi" w:hAnsiTheme="minorHAnsi" w:cstheme="minorHAnsi"/>
          <w:snapToGrid w:val="0"/>
          <w:sz w:val="21"/>
          <w:szCs w:val="21"/>
        </w:rPr>
        <w:tab/>
      </w:r>
      <w:r w:rsidR="002F2261">
        <w:rPr>
          <w:rFonts w:asciiTheme="minorHAnsi" w:hAnsiTheme="minorHAnsi" w:cstheme="minorHAnsi"/>
          <w:snapToGrid w:val="0"/>
          <w:sz w:val="21"/>
          <w:szCs w:val="21"/>
        </w:rPr>
        <w:t>-</w:t>
      </w:r>
      <w:r w:rsidRPr="00EA0188">
        <w:rPr>
          <w:rFonts w:asciiTheme="minorHAnsi" w:hAnsiTheme="minorHAnsi" w:cstheme="minorHAnsi"/>
          <w:snapToGrid w:val="0"/>
          <w:sz w:val="21"/>
          <w:szCs w:val="21"/>
        </w:rPr>
        <w:t xml:space="preserve"> Os valores</w:t>
      </w:r>
      <w:r w:rsidR="00243B6E" w:rsidRPr="00EA0188">
        <w:rPr>
          <w:rFonts w:asciiTheme="minorHAnsi" w:hAnsiTheme="minorHAnsi" w:cstheme="minorHAnsi"/>
          <w:snapToGrid w:val="0"/>
          <w:sz w:val="21"/>
          <w:szCs w:val="21"/>
        </w:rPr>
        <w:t xml:space="preserve"> relativos à arrecadação de 201</w:t>
      </w:r>
      <w:r w:rsidR="00F05C7D">
        <w:rPr>
          <w:rFonts w:asciiTheme="minorHAnsi" w:hAnsiTheme="minorHAnsi" w:cstheme="minorHAnsi"/>
          <w:snapToGrid w:val="0"/>
          <w:sz w:val="21"/>
          <w:szCs w:val="21"/>
        </w:rPr>
        <w:t>9</w:t>
      </w:r>
      <w:r w:rsidRPr="00EA0188">
        <w:rPr>
          <w:rFonts w:asciiTheme="minorHAnsi" w:hAnsiTheme="minorHAnsi" w:cstheme="minorHAnsi"/>
          <w:snapToGrid w:val="0"/>
          <w:sz w:val="21"/>
          <w:szCs w:val="21"/>
        </w:rPr>
        <w:t xml:space="preserve"> foram obtidos a partir da receita arrecadada até o mês de setembro, acrescida da tendência de arrecadação até o final do exercício.</w:t>
      </w:r>
    </w:p>
    <w:p w:rsidR="0025260F" w:rsidRPr="00EA0188" w:rsidRDefault="0025260F" w:rsidP="0025260F">
      <w:pPr>
        <w:pStyle w:val="Corpodetexto"/>
        <w:rPr>
          <w:rFonts w:asciiTheme="minorHAnsi" w:hAnsiTheme="minorHAnsi" w:cstheme="minorHAnsi"/>
          <w:sz w:val="21"/>
          <w:szCs w:val="21"/>
        </w:rPr>
      </w:pPr>
      <w:r w:rsidRPr="00EA0188">
        <w:rPr>
          <w:rFonts w:asciiTheme="minorHAnsi" w:hAnsiTheme="minorHAnsi" w:cstheme="minorHAnsi"/>
          <w:sz w:val="21"/>
          <w:szCs w:val="21"/>
        </w:rPr>
        <w:t xml:space="preserve"> </w:t>
      </w:r>
      <w:r w:rsidRPr="00EA0188">
        <w:rPr>
          <w:rFonts w:asciiTheme="minorHAnsi" w:hAnsiTheme="minorHAnsi" w:cstheme="minorHAnsi"/>
          <w:sz w:val="21"/>
          <w:szCs w:val="21"/>
        </w:rPr>
        <w:tab/>
      </w:r>
    </w:p>
    <w:p w:rsidR="002F2261" w:rsidRDefault="0025260F" w:rsidP="002F2261">
      <w:pPr>
        <w:pStyle w:val="Corpodetexto"/>
        <w:rPr>
          <w:rFonts w:ascii="Calibri" w:hAnsi="Calibri" w:cs="Calibri"/>
          <w:sz w:val="22"/>
          <w:szCs w:val="22"/>
        </w:rPr>
      </w:pPr>
      <w:r w:rsidRPr="00EA0188">
        <w:rPr>
          <w:rFonts w:asciiTheme="minorHAnsi" w:hAnsiTheme="minorHAnsi" w:cstheme="minorHAnsi"/>
          <w:sz w:val="21"/>
          <w:szCs w:val="21"/>
        </w:rPr>
        <w:t xml:space="preserve"> </w:t>
      </w:r>
      <w:r w:rsidRPr="00EA0188">
        <w:rPr>
          <w:rFonts w:asciiTheme="minorHAnsi" w:hAnsiTheme="minorHAnsi" w:cstheme="minorHAnsi"/>
          <w:sz w:val="21"/>
          <w:szCs w:val="21"/>
        </w:rPr>
        <w:tab/>
      </w:r>
      <w:r w:rsidR="002F2261">
        <w:rPr>
          <w:rFonts w:asciiTheme="minorHAnsi" w:hAnsiTheme="minorHAnsi" w:cstheme="minorHAnsi"/>
          <w:sz w:val="21"/>
          <w:szCs w:val="21"/>
        </w:rPr>
        <w:t>-</w:t>
      </w:r>
      <w:r w:rsidRPr="00EA0188">
        <w:rPr>
          <w:rFonts w:asciiTheme="minorHAnsi" w:hAnsiTheme="minorHAnsi" w:cstheme="minorHAnsi"/>
          <w:sz w:val="21"/>
          <w:szCs w:val="21"/>
        </w:rPr>
        <w:t xml:space="preserve"> Em linhas gerais, nas projeções para os exercícios de 201</w:t>
      </w:r>
      <w:r w:rsidR="00AD6174" w:rsidRPr="00EA0188">
        <w:rPr>
          <w:rFonts w:asciiTheme="minorHAnsi" w:hAnsiTheme="minorHAnsi" w:cstheme="minorHAnsi"/>
          <w:sz w:val="21"/>
          <w:szCs w:val="21"/>
        </w:rPr>
        <w:t>9</w:t>
      </w:r>
      <w:r w:rsidRPr="00EA0188">
        <w:rPr>
          <w:rFonts w:asciiTheme="minorHAnsi" w:hAnsiTheme="minorHAnsi" w:cstheme="minorHAnsi"/>
          <w:sz w:val="21"/>
          <w:szCs w:val="21"/>
        </w:rPr>
        <w:t>, 20</w:t>
      </w:r>
      <w:r w:rsidR="00AD6174" w:rsidRPr="00EA0188">
        <w:rPr>
          <w:rFonts w:asciiTheme="minorHAnsi" w:hAnsiTheme="minorHAnsi" w:cstheme="minorHAnsi"/>
          <w:sz w:val="21"/>
          <w:szCs w:val="21"/>
        </w:rPr>
        <w:t>20</w:t>
      </w:r>
      <w:r w:rsidR="00243B6E" w:rsidRPr="00EA0188">
        <w:rPr>
          <w:rFonts w:asciiTheme="minorHAnsi" w:hAnsiTheme="minorHAnsi" w:cstheme="minorHAnsi"/>
          <w:sz w:val="21"/>
          <w:szCs w:val="21"/>
        </w:rPr>
        <w:t xml:space="preserve"> e 202</w:t>
      </w:r>
      <w:r w:rsidR="00AD6174" w:rsidRPr="00EA0188">
        <w:rPr>
          <w:rFonts w:asciiTheme="minorHAnsi" w:hAnsiTheme="minorHAnsi" w:cstheme="minorHAnsi"/>
          <w:sz w:val="21"/>
          <w:szCs w:val="21"/>
        </w:rPr>
        <w:t>1</w:t>
      </w:r>
      <w:r w:rsidRPr="00EA0188">
        <w:rPr>
          <w:rFonts w:asciiTheme="minorHAnsi" w:hAnsiTheme="minorHAnsi" w:cstheme="minorHAnsi"/>
          <w:sz w:val="21"/>
          <w:szCs w:val="21"/>
        </w:rPr>
        <w:t>, o cenário projetado sinaliza para</w:t>
      </w:r>
      <w:r w:rsidR="002F2261">
        <w:rPr>
          <w:rFonts w:ascii="Calibri" w:hAnsi="Calibri" w:cs="Calibri"/>
          <w:sz w:val="22"/>
          <w:szCs w:val="22"/>
        </w:rPr>
        <w:t xml:space="preserve"> um crescimento global das receitas correntes de aproximadamente 7,72% em relação ao projetado para o exercício de 2019.</w:t>
      </w:r>
    </w:p>
    <w:p w:rsidR="0025260F" w:rsidRPr="00EA0188" w:rsidRDefault="002F2261" w:rsidP="00517117">
      <w:pPr>
        <w:pStyle w:val="Corpodetexto"/>
        <w:rPr>
          <w:rFonts w:asciiTheme="minorHAnsi" w:hAnsiTheme="minorHAnsi" w:cstheme="minorHAnsi"/>
          <w:sz w:val="21"/>
          <w:szCs w:val="21"/>
        </w:rPr>
      </w:pPr>
      <w:r>
        <w:rPr>
          <w:rFonts w:ascii="Calibri" w:hAnsi="Calibri" w:cs="Calibri"/>
          <w:sz w:val="22"/>
          <w:szCs w:val="22"/>
        </w:rPr>
        <w:tab/>
        <w:t xml:space="preserve">Em relação às receitas </w:t>
      </w:r>
      <w:r w:rsidR="00F05C7D">
        <w:rPr>
          <w:rFonts w:asciiTheme="minorHAnsi" w:hAnsiTheme="minorHAnsi" w:cstheme="minorHAnsi"/>
          <w:sz w:val="21"/>
          <w:szCs w:val="21"/>
        </w:rPr>
        <w:t>relativas à Saúde e Educação</w:t>
      </w:r>
      <w:r>
        <w:rPr>
          <w:rFonts w:asciiTheme="minorHAnsi" w:hAnsiTheme="minorHAnsi" w:cstheme="minorHAnsi"/>
          <w:sz w:val="21"/>
          <w:szCs w:val="21"/>
        </w:rPr>
        <w:t xml:space="preserve"> a projeção indica manutenção das mesmas. Já em relação às transferências c</w:t>
      </w:r>
      <w:bookmarkStart w:id="0" w:name="_GoBack"/>
      <w:bookmarkEnd w:id="0"/>
      <w:r>
        <w:rPr>
          <w:rFonts w:asciiTheme="minorHAnsi" w:hAnsiTheme="minorHAnsi" w:cstheme="minorHAnsi"/>
          <w:sz w:val="21"/>
          <w:szCs w:val="21"/>
        </w:rPr>
        <w:t>orrentes</w:t>
      </w:r>
      <w:r w:rsidR="00F05C7D">
        <w:rPr>
          <w:rFonts w:asciiTheme="minorHAnsi" w:hAnsiTheme="minorHAnsi" w:cstheme="minorHAnsi"/>
          <w:sz w:val="21"/>
          <w:szCs w:val="21"/>
        </w:rPr>
        <w:t xml:space="preserve">, </w:t>
      </w:r>
    </w:p>
    <w:p w:rsidR="0025260F" w:rsidRPr="00EA0188" w:rsidRDefault="0025260F" w:rsidP="0025260F">
      <w:pPr>
        <w:pStyle w:val="Corpodetexto"/>
        <w:ind w:firstLine="708"/>
        <w:rPr>
          <w:rFonts w:asciiTheme="minorHAnsi" w:hAnsiTheme="minorHAnsi" w:cstheme="minorHAnsi"/>
          <w:sz w:val="21"/>
          <w:szCs w:val="21"/>
        </w:rPr>
      </w:pPr>
    </w:p>
    <w:p w:rsidR="0025260F" w:rsidRPr="00EA0188" w:rsidRDefault="0025260F" w:rsidP="0025260F">
      <w:pPr>
        <w:pStyle w:val="Corpodetexto"/>
        <w:ind w:firstLine="708"/>
        <w:rPr>
          <w:rFonts w:asciiTheme="minorHAnsi" w:hAnsiTheme="minorHAnsi" w:cstheme="minorHAnsi"/>
          <w:sz w:val="21"/>
          <w:szCs w:val="21"/>
        </w:rPr>
      </w:pPr>
      <w:r w:rsidRPr="00EA0188">
        <w:rPr>
          <w:rFonts w:asciiTheme="minorHAnsi" w:hAnsiTheme="minorHAnsi" w:cstheme="minorHAnsi"/>
          <w:sz w:val="21"/>
          <w:szCs w:val="21"/>
        </w:rPr>
        <w:t>O pressuposto geral de comportamento da Receita Municipal é o da existência de uma co</w:t>
      </w:r>
      <w:r w:rsidR="008A76FF">
        <w:rPr>
          <w:rFonts w:asciiTheme="minorHAnsi" w:hAnsiTheme="minorHAnsi" w:cstheme="minorHAnsi"/>
          <w:sz w:val="21"/>
          <w:szCs w:val="21"/>
        </w:rPr>
        <w:t xml:space="preserve">rrelação do comportamento desta </w:t>
      </w:r>
      <w:r w:rsidRPr="00EA0188">
        <w:rPr>
          <w:rFonts w:asciiTheme="minorHAnsi" w:hAnsiTheme="minorHAnsi" w:cstheme="minorHAnsi"/>
          <w:sz w:val="21"/>
          <w:szCs w:val="21"/>
        </w:rPr>
        <w:t xml:space="preserve">com o desempenho dos agregados macroeconômicos. Além disso, </w:t>
      </w:r>
      <w:r w:rsidR="00243B6E" w:rsidRPr="00EA0188">
        <w:rPr>
          <w:rFonts w:asciiTheme="minorHAnsi" w:hAnsiTheme="minorHAnsi" w:cstheme="minorHAnsi"/>
          <w:sz w:val="21"/>
          <w:szCs w:val="21"/>
        </w:rPr>
        <w:t>pressupõem-se</w:t>
      </w:r>
      <w:r w:rsidRPr="00EA0188">
        <w:rPr>
          <w:rFonts w:asciiTheme="minorHAnsi" w:hAnsiTheme="minorHAnsi" w:cstheme="minorHAnsi"/>
          <w:sz w:val="21"/>
          <w:szCs w:val="21"/>
        </w:rPr>
        <w:t xml:space="preserve"> em algumas receitas diretamente arrecadadas pelo Município, que as taxas de crescimento real sejam maiores, devido aos esforços de melhoria de gestão e</w:t>
      </w:r>
      <w:r w:rsidR="002D391F" w:rsidRPr="00EA0188">
        <w:rPr>
          <w:rFonts w:asciiTheme="minorHAnsi" w:hAnsiTheme="minorHAnsi" w:cstheme="minorHAnsi"/>
          <w:sz w:val="21"/>
          <w:szCs w:val="21"/>
        </w:rPr>
        <w:t xml:space="preserve"> diminuição de inadimplência. O indicador macroeconômico básico </w:t>
      </w:r>
      <w:r w:rsidR="00B24FC3">
        <w:rPr>
          <w:rFonts w:asciiTheme="minorHAnsi" w:hAnsiTheme="minorHAnsi" w:cstheme="minorHAnsi"/>
          <w:sz w:val="21"/>
          <w:szCs w:val="21"/>
        </w:rPr>
        <w:t>considerado</w:t>
      </w:r>
      <w:r w:rsidRPr="00EA0188">
        <w:rPr>
          <w:rFonts w:asciiTheme="minorHAnsi" w:hAnsiTheme="minorHAnsi" w:cstheme="minorHAnsi"/>
          <w:sz w:val="21"/>
          <w:szCs w:val="21"/>
        </w:rPr>
        <w:t xml:space="preserve"> para a reestimativa de 201</w:t>
      </w:r>
      <w:r w:rsidR="00B24FC3">
        <w:rPr>
          <w:rFonts w:asciiTheme="minorHAnsi" w:hAnsiTheme="minorHAnsi" w:cstheme="minorHAnsi"/>
          <w:sz w:val="21"/>
          <w:szCs w:val="21"/>
        </w:rPr>
        <w:t>9</w:t>
      </w:r>
      <w:r w:rsidR="004E5D2D" w:rsidRPr="00EA0188">
        <w:rPr>
          <w:rFonts w:asciiTheme="minorHAnsi" w:hAnsiTheme="minorHAnsi" w:cstheme="minorHAnsi"/>
          <w:sz w:val="21"/>
          <w:szCs w:val="21"/>
        </w:rPr>
        <w:t xml:space="preserve"> e </w:t>
      </w:r>
      <w:r w:rsidR="00B24FC3">
        <w:rPr>
          <w:rFonts w:asciiTheme="minorHAnsi" w:hAnsiTheme="minorHAnsi" w:cstheme="minorHAnsi"/>
          <w:sz w:val="21"/>
          <w:szCs w:val="21"/>
        </w:rPr>
        <w:t xml:space="preserve">para </w:t>
      </w:r>
      <w:r w:rsidR="004E5D2D" w:rsidRPr="00EA0188">
        <w:rPr>
          <w:rFonts w:asciiTheme="minorHAnsi" w:hAnsiTheme="minorHAnsi" w:cstheme="minorHAnsi"/>
          <w:sz w:val="21"/>
          <w:szCs w:val="21"/>
        </w:rPr>
        <w:t>as estimativa</w:t>
      </w:r>
      <w:r w:rsidR="00D0202B" w:rsidRPr="00EA0188">
        <w:rPr>
          <w:rFonts w:asciiTheme="minorHAnsi" w:hAnsiTheme="minorHAnsi" w:cstheme="minorHAnsi"/>
          <w:sz w:val="21"/>
          <w:szCs w:val="21"/>
        </w:rPr>
        <w:t>s</w:t>
      </w:r>
      <w:r w:rsidR="004E5D2D" w:rsidRPr="00EA0188">
        <w:rPr>
          <w:rFonts w:asciiTheme="minorHAnsi" w:hAnsiTheme="minorHAnsi" w:cstheme="minorHAnsi"/>
          <w:sz w:val="21"/>
          <w:szCs w:val="21"/>
        </w:rPr>
        <w:t xml:space="preserve"> da receita </w:t>
      </w:r>
      <w:r w:rsidRPr="00EA0188">
        <w:rPr>
          <w:rFonts w:asciiTheme="minorHAnsi" w:hAnsiTheme="minorHAnsi" w:cstheme="minorHAnsi"/>
          <w:sz w:val="21"/>
          <w:szCs w:val="21"/>
        </w:rPr>
        <w:t>para 20</w:t>
      </w:r>
      <w:r w:rsidR="00B24FC3">
        <w:rPr>
          <w:rFonts w:asciiTheme="minorHAnsi" w:hAnsiTheme="minorHAnsi" w:cstheme="minorHAnsi"/>
          <w:sz w:val="21"/>
          <w:szCs w:val="21"/>
        </w:rPr>
        <w:t>20</w:t>
      </w:r>
      <w:r w:rsidRPr="00EA0188">
        <w:rPr>
          <w:rFonts w:asciiTheme="minorHAnsi" w:hAnsiTheme="minorHAnsi" w:cstheme="minorHAnsi"/>
          <w:sz w:val="21"/>
          <w:szCs w:val="21"/>
        </w:rPr>
        <w:t>, 20</w:t>
      </w:r>
      <w:r w:rsidR="00AD6174" w:rsidRPr="00EA0188">
        <w:rPr>
          <w:rFonts w:asciiTheme="minorHAnsi" w:hAnsiTheme="minorHAnsi" w:cstheme="minorHAnsi"/>
          <w:sz w:val="21"/>
          <w:szCs w:val="21"/>
        </w:rPr>
        <w:t>2</w:t>
      </w:r>
      <w:r w:rsidR="00B24FC3">
        <w:rPr>
          <w:rFonts w:asciiTheme="minorHAnsi" w:hAnsiTheme="minorHAnsi" w:cstheme="minorHAnsi"/>
          <w:sz w:val="21"/>
          <w:szCs w:val="21"/>
        </w:rPr>
        <w:t>1</w:t>
      </w:r>
      <w:r w:rsidR="00243B6E" w:rsidRPr="00EA0188">
        <w:rPr>
          <w:rFonts w:asciiTheme="minorHAnsi" w:hAnsiTheme="minorHAnsi" w:cstheme="minorHAnsi"/>
          <w:sz w:val="21"/>
          <w:szCs w:val="21"/>
        </w:rPr>
        <w:t xml:space="preserve"> e 202</w:t>
      </w:r>
      <w:r w:rsidR="00B24FC3">
        <w:rPr>
          <w:rFonts w:asciiTheme="minorHAnsi" w:hAnsiTheme="minorHAnsi" w:cstheme="minorHAnsi"/>
          <w:sz w:val="21"/>
          <w:szCs w:val="21"/>
        </w:rPr>
        <w:t>2</w:t>
      </w:r>
      <w:r w:rsidRPr="00EA0188">
        <w:rPr>
          <w:rFonts w:asciiTheme="minorHAnsi" w:hAnsiTheme="minorHAnsi" w:cstheme="minorHAnsi"/>
          <w:sz w:val="21"/>
          <w:szCs w:val="21"/>
        </w:rPr>
        <w:t xml:space="preserve"> fo</w:t>
      </w:r>
      <w:r w:rsidR="00EA0188">
        <w:rPr>
          <w:rFonts w:asciiTheme="minorHAnsi" w:hAnsiTheme="minorHAnsi" w:cstheme="minorHAnsi"/>
          <w:sz w:val="21"/>
          <w:szCs w:val="21"/>
        </w:rPr>
        <w:t>i</w:t>
      </w:r>
      <w:r w:rsidRPr="00EA0188">
        <w:rPr>
          <w:rFonts w:asciiTheme="minorHAnsi" w:hAnsiTheme="minorHAnsi" w:cstheme="minorHAnsi"/>
          <w:sz w:val="21"/>
          <w:szCs w:val="21"/>
        </w:rPr>
        <w:t>:</w:t>
      </w:r>
    </w:p>
    <w:p w:rsidR="0025260F" w:rsidRPr="00EA0188" w:rsidRDefault="0025260F" w:rsidP="0025260F">
      <w:pPr>
        <w:pStyle w:val="Corpodetexto"/>
        <w:ind w:firstLine="708"/>
        <w:rPr>
          <w:rFonts w:asciiTheme="minorHAnsi" w:hAnsiTheme="minorHAnsi" w:cstheme="minorHAnsi"/>
          <w:sz w:val="21"/>
          <w:szCs w:val="21"/>
        </w:rPr>
      </w:pPr>
    </w:p>
    <w:tbl>
      <w:tblPr>
        <w:tblW w:w="83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6"/>
        <w:gridCol w:w="1418"/>
        <w:gridCol w:w="1418"/>
        <w:gridCol w:w="1418"/>
        <w:gridCol w:w="1418"/>
      </w:tblGrid>
      <w:tr w:rsidR="003A00F5" w:rsidRPr="00EA0188" w:rsidTr="00B24FC3">
        <w:tc>
          <w:tcPr>
            <w:tcW w:w="2696" w:type="dxa"/>
            <w:vAlign w:val="center"/>
            <w:hideMark/>
          </w:tcPr>
          <w:p w:rsidR="003A00F5" w:rsidRPr="00EA0188" w:rsidRDefault="003A00F5" w:rsidP="00A709E4">
            <w:pPr>
              <w:snapToGrid w:val="0"/>
              <w:spacing w:line="256" w:lineRule="auto"/>
              <w:jc w:val="center"/>
              <w:rPr>
                <w:rFonts w:asciiTheme="minorHAnsi" w:hAnsiTheme="minorHAnsi" w:cstheme="minorHAnsi"/>
                <w:b/>
                <w:sz w:val="21"/>
                <w:szCs w:val="21"/>
                <w:lang w:eastAsia="en-US"/>
              </w:rPr>
            </w:pPr>
            <w:r w:rsidRPr="00EA0188">
              <w:rPr>
                <w:rFonts w:asciiTheme="minorHAnsi" w:hAnsiTheme="minorHAnsi" w:cstheme="minorHAnsi"/>
                <w:b/>
                <w:sz w:val="21"/>
                <w:szCs w:val="21"/>
                <w:lang w:eastAsia="en-US"/>
              </w:rPr>
              <w:t>Ano</w:t>
            </w:r>
          </w:p>
        </w:tc>
        <w:tc>
          <w:tcPr>
            <w:tcW w:w="1418" w:type="dxa"/>
            <w:vAlign w:val="center"/>
          </w:tcPr>
          <w:p w:rsidR="003A00F5" w:rsidRPr="00EA0188" w:rsidRDefault="003A00F5" w:rsidP="004A6A8E">
            <w:pPr>
              <w:snapToGrid w:val="0"/>
              <w:spacing w:line="256" w:lineRule="auto"/>
              <w:jc w:val="center"/>
              <w:rPr>
                <w:rFonts w:asciiTheme="minorHAnsi" w:hAnsiTheme="minorHAnsi" w:cstheme="minorHAnsi"/>
                <w:b/>
                <w:sz w:val="21"/>
                <w:szCs w:val="21"/>
                <w:lang w:eastAsia="en-US"/>
              </w:rPr>
            </w:pPr>
            <w:r w:rsidRPr="00EA0188">
              <w:rPr>
                <w:rFonts w:asciiTheme="minorHAnsi" w:hAnsiTheme="minorHAnsi" w:cstheme="minorHAnsi"/>
                <w:b/>
                <w:sz w:val="21"/>
                <w:szCs w:val="21"/>
                <w:lang w:eastAsia="en-US"/>
              </w:rPr>
              <w:t>2019</w:t>
            </w:r>
          </w:p>
        </w:tc>
        <w:tc>
          <w:tcPr>
            <w:tcW w:w="1418" w:type="dxa"/>
            <w:vAlign w:val="center"/>
          </w:tcPr>
          <w:p w:rsidR="003A00F5" w:rsidRPr="00EA0188" w:rsidRDefault="003A00F5" w:rsidP="004A6A8E">
            <w:pPr>
              <w:snapToGrid w:val="0"/>
              <w:spacing w:line="256" w:lineRule="auto"/>
              <w:jc w:val="center"/>
              <w:rPr>
                <w:rFonts w:asciiTheme="minorHAnsi" w:hAnsiTheme="minorHAnsi" w:cstheme="minorHAnsi"/>
                <w:b/>
                <w:sz w:val="21"/>
                <w:szCs w:val="21"/>
                <w:lang w:eastAsia="en-US"/>
              </w:rPr>
            </w:pPr>
            <w:r w:rsidRPr="00EA0188">
              <w:rPr>
                <w:rFonts w:asciiTheme="minorHAnsi" w:hAnsiTheme="minorHAnsi" w:cstheme="minorHAnsi"/>
                <w:b/>
                <w:sz w:val="21"/>
                <w:szCs w:val="21"/>
                <w:lang w:eastAsia="en-US"/>
              </w:rPr>
              <w:t>2020</w:t>
            </w:r>
          </w:p>
        </w:tc>
        <w:tc>
          <w:tcPr>
            <w:tcW w:w="1418" w:type="dxa"/>
            <w:vAlign w:val="center"/>
          </w:tcPr>
          <w:p w:rsidR="003A00F5" w:rsidRPr="00EA0188" w:rsidRDefault="003A00F5" w:rsidP="004A6A8E">
            <w:pPr>
              <w:snapToGrid w:val="0"/>
              <w:spacing w:line="256" w:lineRule="auto"/>
              <w:jc w:val="center"/>
              <w:rPr>
                <w:rFonts w:asciiTheme="minorHAnsi" w:hAnsiTheme="minorHAnsi" w:cstheme="minorHAnsi"/>
                <w:b/>
                <w:sz w:val="21"/>
                <w:szCs w:val="21"/>
                <w:lang w:eastAsia="en-US"/>
              </w:rPr>
            </w:pPr>
            <w:r w:rsidRPr="00EA0188">
              <w:rPr>
                <w:rFonts w:asciiTheme="minorHAnsi" w:hAnsiTheme="minorHAnsi" w:cstheme="minorHAnsi"/>
                <w:b/>
                <w:sz w:val="21"/>
                <w:szCs w:val="21"/>
                <w:lang w:eastAsia="en-US"/>
              </w:rPr>
              <w:t>2021</w:t>
            </w:r>
          </w:p>
        </w:tc>
        <w:tc>
          <w:tcPr>
            <w:tcW w:w="1418" w:type="dxa"/>
            <w:vAlign w:val="center"/>
          </w:tcPr>
          <w:p w:rsidR="003A00F5" w:rsidRPr="00EA0188" w:rsidRDefault="00B24FC3" w:rsidP="00A709E4">
            <w:pPr>
              <w:snapToGrid w:val="0"/>
              <w:spacing w:line="256" w:lineRule="auto"/>
              <w:jc w:val="center"/>
              <w:rPr>
                <w:rFonts w:asciiTheme="minorHAnsi" w:hAnsiTheme="minorHAnsi" w:cstheme="minorHAnsi"/>
                <w:b/>
                <w:sz w:val="21"/>
                <w:szCs w:val="21"/>
                <w:lang w:eastAsia="en-US"/>
              </w:rPr>
            </w:pPr>
            <w:r>
              <w:rPr>
                <w:rFonts w:asciiTheme="minorHAnsi" w:hAnsiTheme="minorHAnsi" w:cstheme="minorHAnsi"/>
                <w:b/>
                <w:sz w:val="21"/>
                <w:szCs w:val="21"/>
                <w:lang w:eastAsia="en-US"/>
              </w:rPr>
              <w:t>2022</w:t>
            </w:r>
          </w:p>
        </w:tc>
      </w:tr>
      <w:tr w:rsidR="003A00F5" w:rsidRPr="00EA0188" w:rsidTr="00B24FC3">
        <w:tc>
          <w:tcPr>
            <w:tcW w:w="2696" w:type="dxa"/>
            <w:vAlign w:val="center"/>
            <w:hideMark/>
          </w:tcPr>
          <w:p w:rsidR="003A00F5" w:rsidRPr="00EA0188" w:rsidRDefault="003A00F5" w:rsidP="00A709E4">
            <w:pPr>
              <w:snapToGrid w:val="0"/>
              <w:spacing w:line="256" w:lineRule="auto"/>
              <w:jc w:val="center"/>
              <w:rPr>
                <w:rFonts w:asciiTheme="minorHAnsi" w:hAnsiTheme="minorHAnsi" w:cstheme="minorHAnsi"/>
                <w:sz w:val="21"/>
                <w:szCs w:val="21"/>
                <w:lang w:eastAsia="en-US"/>
              </w:rPr>
            </w:pPr>
            <w:r w:rsidRPr="00EA0188">
              <w:rPr>
                <w:rFonts w:asciiTheme="minorHAnsi" w:hAnsiTheme="minorHAnsi" w:cstheme="minorHAnsi"/>
                <w:sz w:val="21"/>
                <w:szCs w:val="21"/>
                <w:lang w:eastAsia="en-US"/>
              </w:rPr>
              <w:t>VARIAÇÃO DO IPCA</w:t>
            </w:r>
          </w:p>
        </w:tc>
        <w:tc>
          <w:tcPr>
            <w:tcW w:w="1418" w:type="dxa"/>
            <w:vAlign w:val="center"/>
          </w:tcPr>
          <w:p w:rsidR="003A00F5" w:rsidRPr="00EA0188" w:rsidRDefault="000C331B" w:rsidP="000C331B">
            <w:pPr>
              <w:snapToGrid w:val="0"/>
              <w:spacing w:line="256" w:lineRule="auto"/>
              <w:jc w:val="center"/>
              <w:rPr>
                <w:rFonts w:asciiTheme="minorHAnsi" w:hAnsiTheme="minorHAnsi" w:cstheme="minorHAnsi"/>
                <w:sz w:val="21"/>
                <w:szCs w:val="21"/>
                <w:lang w:eastAsia="en-US"/>
              </w:rPr>
            </w:pPr>
            <w:r>
              <w:rPr>
                <w:rFonts w:asciiTheme="minorHAnsi" w:hAnsiTheme="minorHAnsi" w:cstheme="minorHAnsi"/>
                <w:sz w:val="21"/>
                <w:szCs w:val="21"/>
                <w:lang w:eastAsia="en-US"/>
              </w:rPr>
              <w:t xml:space="preserve">3,27 </w:t>
            </w:r>
            <w:r w:rsidR="003A00F5" w:rsidRPr="00EA0188">
              <w:rPr>
                <w:rFonts w:asciiTheme="minorHAnsi" w:hAnsiTheme="minorHAnsi" w:cstheme="minorHAnsi"/>
                <w:sz w:val="21"/>
                <w:szCs w:val="21"/>
                <w:lang w:eastAsia="en-US"/>
              </w:rPr>
              <w:t>%</w:t>
            </w:r>
          </w:p>
        </w:tc>
        <w:tc>
          <w:tcPr>
            <w:tcW w:w="1418" w:type="dxa"/>
            <w:vAlign w:val="center"/>
          </w:tcPr>
          <w:p w:rsidR="003A00F5" w:rsidRPr="00EA0188" w:rsidRDefault="006B11DC" w:rsidP="004A6A8E">
            <w:pPr>
              <w:snapToGrid w:val="0"/>
              <w:spacing w:line="256" w:lineRule="auto"/>
              <w:jc w:val="center"/>
              <w:rPr>
                <w:rFonts w:asciiTheme="minorHAnsi" w:hAnsiTheme="minorHAnsi" w:cstheme="minorHAnsi"/>
                <w:sz w:val="21"/>
                <w:szCs w:val="21"/>
                <w:lang w:eastAsia="en-US"/>
              </w:rPr>
            </w:pPr>
            <w:r>
              <w:rPr>
                <w:rFonts w:asciiTheme="minorHAnsi" w:hAnsiTheme="minorHAnsi" w:cstheme="minorHAnsi"/>
                <w:sz w:val="21"/>
                <w:szCs w:val="21"/>
                <w:lang w:eastAsia="en-US"/>
              </w:rPr>
              <w:t>3,70</w:t>
            </w:r>
            <w:r w:rsidR="003A00F5" w:rsidRPr="00EA0188">
              <w:rPr>
                <w:rFonts w:asciiTheme="minorHAnsi" w:hAnsiTheme="minorHAnsi" w:cstheme="minorHAnsi"/>
                <w:sz w:val="21"/>
                <w:szCs w:val="21"/>
                <w:lang w:eastAsia="en-US"/>
              </w:rPr>
              <w:t xml:space="preserve"> %</w:t>
            </w:r>
          </w:p>
        </w:tc>
        <w:tc>
          <w:tcPr>
            <w:tcW w:w="1418" w:type="dxa"/>
            <w:vAlign w:val="center"/>
          </w:tcPr>
          <w:p w:rsidR="003A00F5" w:rsidRPr="00EA0188" w:rsidRDefault="006B11DC" w:rsidP="006B11DC">
            <w:pPr>
              <w:snapToGrid w:val="0"/>
              <w:spacing w:line="256" w:lineRule="auto"/>
              <w:jc w:val="center"/>
              <w:rPr>
                <w:rFonts w:asciiTheme="minorHAnsi" w:hAnsiTheme="minorHAnsi" w:cstheme="minorHAnsi"/>
                <w:sz w:val="21"/>
                <w:szCs w:val="21"/>
                <w:lang w:eastAsia="en-US"/>
              </w:rPr>
            </w:pPr>
            <w:r>
              <w:rPr>
                <w:rFonts w:asciiTheme="minorHAnsi" w:hAnsiTheme="minorHAnsi" w:cstheme="minorHAnsi"/>
                <w:sz w:val="21"/>
                <w:szCs w:val="21"/>
                <w:lang w:eastAsia="en-US"/>
              </w:rPr>
              <w:t>3,76</w:t>
            </w:r>
            <w:r w:rsidR="003A00F5" w:rsidRPr="00EA0188">
              <w:rPr>
                <w:rFonts w:asciiTheme="minorHAnsi" w:hAnsiTheme="minorHAnsi" w:cstheme="minorHAnsi"/>
                <w:sz w:val="21"/>
                <w:szCs w:val="21"/>
                <w:lang w:eastAsia="en-US"/>
              </w:rPr>
              <w:t xml:space="preserve"> %</w:t>
            </w:r>
          </w:p>
        </w:tc>
        <w:tc>
          <w:tcPr>
            <w:tcW w:w="1418" w:type="dxa"/>
            <w:vAlign w:val="center"/>
          </w:tcPr>
          <w:p w:rsidR="003A00F5" w:rsidRPr="00EA0188" w:rsidRDefault="006B11DC" w:rsidP="00A709E4">
            <w:pPr>
              <w:snapToGrid w:val="0"/>
              <w:spacing w:line="256" w:lineRule="auto"/>
              <w:jc w:val="center"/>
              <w:rPr>
                <w:rFonts w:asciiTheme="minorHAnsi" w:hAnsiTheme="minorHAnsi" w:cstheme="minorHAnsi"/>
                <w:sz w:val="21"/>
                <w:szCs w:val="21"/>
                <w:lang w:eastAsia="en-US"/>
              </w:rPr>
            </w:pPr>
            <w:r>
              <w:rPr>
                <w:rFonts w:asciiTheme="minorHAnsi" w:hAnsiTheme="minorHAnsi" w:cstheme="minorHAnsi"/>
                <w:sz w:val="21"/>
                <w:szCs w:val="21"/>
                <w:lang w:eastAsia="en-US"/>
              </w:rPr>
              <w:t>3,50 %</w:t>
            </w:r>
          </w:p>
        </w:tc>
      </w:tr>
    </w:tbl>
    <w:p w:rsidR="0025260F" w:rsidRPr="00EA0188" w:rsidRDefault="00036BD6" w:rsidP="00036BD6">
      <w:pPr>
        <w:jc w:val="both"/>
        <w:rPr>
          <w:rFonts w:asciiTheme="minorHAnsi" w:hAnsiTheme="minorHAnsi" w:cstheme="minorHAnsi"/>
          <w:sz w:val="18"/>
          <w:szCs w:val="18"/>
        </w:rPr>
      </w:pPr>
      <w:r w:rsidRPr="00EA0188">
        <w:rPr>
          <w:rFonts w:asciiTheme="minorHAnsi" w:hAnsiTheme="minorHAnsi" w:cstheme="minorHAnsi"/>
          <w:sz w:val="21"/>
          <w:szCs w:val="21"/>
        </w:rPr>
        <w:t xml:space="preserve">      </w:t>
      </w:r>
      <w:r w:rsidRPr="00EA0188">
        <w:rPr>
          <w:rFonts w:asciiTheme="minorHAnsi" w:hAnsiTheme="minorHAnsi" w:cstheme="minorHAnsi"/>
          <w:sz w:val="18"/>
          <w:szCs w:val="18"/>
        </w:rPr>
        <w:t xml:space="preserve">Fonte: </w:t>
      </w:r>
      <w:hyperlink r:id="rId5" w:history="1">
        <w:r w:rsidRPr="00EA0188">
          <w:rPr>
            <w:rStyle w:val="Hyperlink"/>
            <w:rFonts w:asciiTheme="minorHAnsi" w:hAnsiTheme="minorHAnsi" w:cstheme="minorHAnsi"/>
            <w:sz w:val="18"/>
            <w:szCs w:val="18"/>
          </w:rPr>
          <w:t>https://www3.bcb.gov.br/expectativas/publico/consulta/serieestatisticas</w:t>
        </w:r>
      </w:hyperlink>
      <w:r w:rsidRPr="00EA0188">
        <w:rPr>
          <w:rFonts w:asciiTheme="minorHAnsi" w:hAnsiTheme="minorHAnsi" w:cstheme="minorHAnsi"/>
          <w:sz w:val="18"/>
          <w:szCs w:val="18"/>
        </w:rPr>
        <w:t>, previsão na data de 1</w:t>
      </w:r>
      <w:r w:rsidR="006B11DC">
        <w:rPr>
          <w:rFonts w:asciiTheme="minorHAnsi" w:hAnsiTheme="minorHAnsi" w:cstheme="minorHAnsi"/>
          <w:sz w:val="18"/>
          <w:szCs w:val="18"/>
        </w:rPr>
        <w:t>1</w:t>
      </w:r>
      <w:r w:rsidRPr="00EA0188">
        <w:rPr>
          <w:rFonts w:asciiTheme="minorHAnsi" w:hAnsiTheme="minorHAnsi" w:cstheme="minorHAnsi"/>
          <w:sz w:val="18"/>
          <w:szCs w:val="18"/>
        </w:rPr>
        <w:t>/10/1</w:t>
      </w:r>
      <w:r w:rsidR="006B11DC">
        <w:rPr>
          <w:rFonts w:asciiTheme="minorHAnsi" w:hAnsiTheme="minorHAnsi" w:cstheme="minorHAnsi"/>
          <w:sz w:val="18"/>
          <w:szCs w:val="18"/>
        </w:rPr>
        <w:t>9.</w:t>
      </w:r>
    </w:p>
    <w:p w:rsidR="00036BD6" w:rsidRPr="00EA0188" w:rsidRDefault="00036BD6" w:rsidP="0025260F">
      <w:pPr>
        <w:jc w:val="both"/>
        <w:rPr>
          <w:rFonts w:asciiTheme="minorHAnsi" w:hAnsiTheme="minorHAnsi" w:cstheme="minorHAnsi"/>
          <w:sz w:val="21"/>
          <w:szCs w:val="21"/>
        </w:rPr>
      </w:pPr>
    </w:p>
    <w:p w:rsidR="0025260F" w:rsidRPr="00EA0188" w:rsidRDefault="00E635BF" w:rsidP="0025260F">
      <w:pPr>
        <w:ind w:firstLine="708"/>
        <w:jc w:val="both"/>
        <w:rPr>
          <w:rFonts w:asciiTheme="minorHAnsi" w:hAnsiTheme="minorHAnsi" w:cstheme="minorHAnsi"/>
          <w:sz w:val="21"/>
          <w:szCs w:val="21"/>
        </w:rPr>
      </w:pPr>
      <w:r w:rsidRPr="00EA0188">
        <w:rPr>
          <w:rFonts w:asciiTheme="minorHAnsi" w:hAnsiTheme="minorHAnsi" w:cstheme="minorHAnsi"/>
          <w:sz w:val="21"/>
          <w:szCs w:val="21"/>
        </w:rPr>
        <w:t xml:space="preserve">Com base nesses agregados, </w:t>
      </w:r>
      <w:r w:rsidR="0025260F" w:rsidRPr="00EA0188">
        <w:rPr>
          <w:rFonts w:asciiTheme="minorHAnsi" w:hAnsiTheme="minorHAnsi" w:cstheme="minorHAnsi"/>
          <w:sz w:val="21"/>
          <w:szCs w:val="21"/>
        </w:rPr>
        <w:t>detalhamos as estimativas de Receitas:</w:t>
      </w:r>
    </w:p>
    <w:p w:rsidR="0025260F" w:rsidRPr="00EA0188" w:rsidRDefault="0025260F" w:rsidP="0025260F">
      <w:pPr>
        <w:ind w:firstLine="1620"/>
        <w:jc w:val="both"/>
        <w:rPr>
          <w:rFonts w:asciiTheme="minorHAnsi" w:hAnsiTheme="minorHAnsi" w:cstheme="minorHAnsi"/>
          <w:sz w:val="21"/>
          <w:szCs w:val="21"/>
        </w:rPr>
      </w:pPr>
    </w:p>
    <w:p w:rsidR="008D1A27" w:rsidRPr="00D90960" w:rsidRDefault="0025260F" w:rsidP="0025260F">
      <w:pPr>
        <w:pStyle w:val="PAR01"/>
        <w:tabs>
          <w:tab w:val="left" w:pos="708"/>
        </w:tabs>
        <w:rPr>
          <w:rFonts w:asciiTheme="minorHAnsi" w:hAnsiTheme="minorHAnsi" w:cstheme="minorHAnsi"/>
          <w:sz w:val="21"/>
          <w:szCs w:val="21"/>
        </w:rPr>
      </w:pPr>
      <w:r w:rsidRPr="00D90960">
        <w:rPr>
          <w:rFonts w:asciiTheme="minorHAnsi" w:hAnsiTheme="minorHAnsi" w:cstheme="minorHAnsi"/>
          <w:sz w:val="21"/>
          <w:szCs w:val="21"/>
        </w:rPr>
        <w:t xml:space="preserve"> </w:t>
      </w:r>
      <w:r w:rsidRPr="00D90960">
        <w:rPr>
          <w:rFonts w:asciiTheme="minorHAnsi" w:hAnsiTheme="minorHAnsi" w:cstheme="minorHAnsi"/>
          <w:sz w:val="21"/>
          <w:szCs w:val="21"/>
        </w:rPr>
        <w:tab/>
        <w:t xml:space="preserve">- </w:t>
      </w:r>
      <w:proofErr w:type="gramStart"/>
      <w:r w:rsidRPr="00D90960">
        <w:rPr>
          <w:rFonts w:asciiTheme="minorHAnsi" w:hAnsiTheme="minorHAnsi" w:cstheme="minorHAnsi"/>
          <w:sz w:val="21"/>
          <w:szCs w:val="21"/>
        </w:rPr>
        <w:t>Receitas Diretamente Arrecadadas</w:t>
      </w:r>
      <w:proofErr w:type="gramEnd"/>
      <w:r w:rsidRPr="00D90960">
        <w:rPr>
          <w:rFonts w:asciiTheme="minorHAnsi" w:hAnsiTheme="minorHAnsi" w:cstheme="minorHAnsi"/>
          <w:sz w:val="21"/>
          <w:szCs w:val="21"/>
        </w:rPr>
        <w:t xml:space="preserve">: </w:t>
      </w:r>
    </w:p>
    <w:p w:rsidR="00CD5D27" w:rsidRDefault="00CD5D27" w:rsidP="0025260F">
      <w:pPr>
        <w:pStyle w:val="PAR01"/>
        <w:tabs>
          <w:tab w:val="left" w:pos="708"/>
        </w:tabs>
        <w:rPr>
          <w:rFonts w:asciiTheme="minorHAnsi" w:hAnsiTheme="minorHAnsi" w:cstheme="minorHAnsi"/>
          <w:sz w:val="21"/>
          <w:szCs w:val="21"/>
        </w:rPr>
      </w:pPr>
    </w:p>
    <w:p w:rsidR="0025260F" w:rsidRPr="00EA0188" w:rsidRDefault="008D1A27" w:rsidP="0025260F">
      <w:pPr>
        <w:pStyle w:val="PAR01"/>
        <w:tabs>
          <w:tab w:val="left" w:pos="708"/>
        </w:tabs>
        <w:rPr>
          <w:rFonts w:asciiTheme="minorHAnsi" w:hAnsiTheme="minorHAnsi" w:cstheme="minorHAnsi"/>
          <w:sz w:val="21"/>
          <w:szCs w:val="21"/>
        </w:rPr>
      </w:pPr>
      <w:r>
        <w:rPr>
          <w:rFonts w:asciiTheme="minorHAnsi" w:hAnsiTheme="minorHAnsi" w:cstheme="minorHAnsi"/>
          <w:sz w:val="21"/>
          <w:szCs w:val="21"/>
        </w:rPr>
        <w:tab/>
        <w:t>N</w:t>
      </w:r>
      <w:r w:rsidR="0025260F" w:rsidRPr="00EA0188">
        <w:rPr>
          <w:rFonts w:asciiTheme="minorHAnsi" w:hAnsiTheme="minorHAnsi" w:cstheme="minorHAnsi"/>
          <w:sz w:val="21"/>
          <w:szCs w:val="21"/>
        </w:rPr>
        <w:t xml:space="preserve">as receitas tributárias, o melhor desempenho verificado nos anos anteriores ficou com o </w:t>
      </w:r>
      <w:r w:rsidR="003B690A" w:rsidRPr="00EA0188">
        <w:rPr>
          <w:rFonts w:asciiTheme="minorHAnsi" w:hAnsiTheme="minorHAnsi" w:cstheme="minorHAnsi"/>
          <w:sz w:val="21"/>
          <w:szCs w:val="21"/>
        </w:rPr>
        <w:t>IPTU</w:t>
      </w:r>
      <w:r>
        <w:rPr>
          <w:rFonts w:asciiTheme="minorHAnsi" w:hAnsiTheme="minorHAnsi" w:cstheme="minorHAnsi"/>
          <w:sz w:val="21"/>
          <w:szCs w:val="21"/>
        </w:rPr>
        <w:t xml:space="preserve"> (considerando-se a receita do exercício, bem como da dívida ativa)</w:t>
      </w:r>
      <w:r w:rsidR="00E635BF" w:rsidRPr="00EA0188">
        <w:rPr>
          <w:rFonts w:asciiTheme="minorHAnsi" w:hAnsiTheme="minorHAnsi" w:cstheme="minorHAnsi"/>
          <w:sz w:val="21"/>
          <w:szCs w:val="21"/>
        </w:rPr>
        <w:t xml:space="preserve"> devido aos incentivos e descontos proporc</w:t>
      </w:r>
      <w:r>
        <w:rPr>
          <w:rFonts w:asciiTheme="minorHAnsi" w:hAnsiTheme="minorHAnsi" w:cstheme="minorHAnsi"/>
          <w:sz w:val="21"/>
          <w:szCs w:val="21"/>
        </w:rPr>
        <w:t xml:space="preserve">ionados </w:t>
      </w:r>
      <w:r w:rsidR="00CD5D27">
        <w:rPr>
          <w:rFonts w:asciiTheme="minorHAnsi" w:hAnsiTheme="minorHAnsi" w:cstheme="minorHAnsi"/>
          <w:sz w:val="21"/>
          <w:szCs w:val="21"/>
        </w:rPr>
        <w:t>aos contribuintes</w:t>
      </w:r>
      <w:r>
        <w:rPr>
          <w:rFonts w:asciiTheme="minorHAnsi" w:hAnsiTheme="minorHAnsi" w:cstheme="minorHAnsi"/>
          <w:sz w:val="21"/>
          <w:szCs w:val="21"/>
        </w:rPr>
        <w:t>. Nessa linha, projetou-se um aumento de aproximadamente 5% de 2019 para 2020 na arrecadação relativa a esta receita.</w:t>
      </w:r>
    </w:p>
    <w:p w:rsidR="0025260F" w:rsidRPr="00EA0188" w:rsidRDefault="0025260F" w:rsidP="0025260F">
      <w:pPr>
        <w:ind w:firstLine="708"/>
        <w:jc w:val="both"/>
        <w:rPr>
          <w:rFonts w:asciiTheme="minorHAnsi" w:hAnsiTheme="minorHAnsi" w:cstheme="minorHAnsi"/>
          <w:sz w:val="21"/>
          <w:szCs w:val="21"/>
        </w:rPr>
      </w:pPr>
    </w:p>
    <w:p w:rsidR="00F93573" w:rsidRDefault="0025260F" w:rsidP="0025260F">
      <w:pPr>
        <w:ind w:firstLine="708"/>
        <w:jc w:val="both"/>
        <w:rPr>
          <w:rFonts w:asciiTheme="minorHAnsi" w:hAnsiTheme="minorHAnsi" w:cstheme="minorHAnsi"/>
          <w:sz w:val="21"/>
          <w:szCs w:val="21"/>
        </w:rPr>
      </w:pPr>
      <w:r w:rsidRPr="00EA0188">
        <w:rPr>
          <w:rFonts w:asciiTheme="minorHAnsi" w:hAnsiTheme="minorHAnsi" w:cstheme="minorHAnsi"/>
          <w:sz w:val="21"/>
          <w:szCs w:val="21"/>
        </w:rPr>
        <w:t>- Nas out</w:t>
      </w:r>
      <w:r w:rsidR="002872D9" w:rsidRPr="00EA0188">
        <w:rPr>
          <w:rFonts w:asciiTheme="minorHAnsi" w:hAnsiTheme="minorHAnsi" w:cstheme="minorHAnsi"/>
          <w:sz w:val="21"/>
          <w:szCs w:val="21"/>
        </w:rPr>
        <w:t>ras receitas tributárias (</w:t>
      </w:r>
      <w:r w:rsidRPr="00EA0188">
        <w:rPr>
          <w:rFonts w:asciiTheme="minorHAnsi" w:hAnsiTheme="minorHAnsi" w:cstheme="minorHAnsi"/>
          <w:sz w:val="21"/>
          <w:szCs w:val="21"/>
        </w:rPr>
        <w:t xml:space="preserve">Taxas, Contribuição de Melhoria) </w:t>
      </w:r>
      <w:r w:rsidR="00F93573">
        <w:rPr>
          <w:rFonts w:asciiTheme="minorHAnsi" w:hAnsiTheme="minorHAnsi" w:cstheme="minorHAnsi"/>
          <w:sz w:val="21"/>
          <w:szCs w:val="21"/>
        </w:rPr>
        <w:t>projetou-se um crescimento de aproximadamente 4%, considerando-se os índices inflacionários.</w:t>
      </w:r>
    </w:p>
    <w:p w:rsidR="00D90960" w:rsidRDefault="00D90960" w:rsidP="0025260F">
      <w:pPr>
        <w:ind w:firstLine="708"/>
        <w:jc w:val="both"/>
        <w:rPr>
          <w:rFonts w:asciiTheme="minorHAnsi" w:hAnsiTheme="minorHAnsi" w:cstheme="minorHAnsi"/>
          <w:sz w:val="21"/>
          <w:szCs w:val="21"/>
        </w:rPr>
      </w:pPr>
    </w:p>
    <w:p w:rsidR="0025260F" w:rsidRDefault="00D90960" w:rsidP="0025260F">
      <w:pPr>
        <w:ind w:firstLine="708"/>
        <w:jc w:val="both"/>
        <w:rPr>
          <w:rFonts w:asciiTheme="minorHAnsi" w:hAnsiTheme="minorHAnsi" w:cstheme="minorHAnsi"/>
          <w:sz w:val="21"/>
          <w:szCs w:val="21"/>
        </w:rPr>
      </w:pPr>
      <w:r>
        <w:rPr>
          <w:rFonts w:asciiTheme="minorHAnsi" w:hAnsiTheme="minorHAnsi" w:cstheme="minorHAnsi"/>
          <w:sz w:val="21"/>
          <w:szCs w:val="21"/>
        </w:rPr>
        <w:t xml:space="preserve">- </w:t>
      </w:r>
      <w:r w:rsidR="00F93573">
        <w:rPr>
          <w:rFonts w:asciiTheme="minorHAnsi" w:hAnsiTheme="minorHAnsi" w:cstheme="minorHAnsi"/>
          <w:sz w:val="21"/>
          <w:szCs w:val="21"/>
        </w:rPr>
        <w:t>Já nas r</w:t>
      </w:r>
      <w:r w:rsidR="0025260F" w:rsidRPr="00EA0188">
        <w:rPr>
          <w:rFonts w:asciiTheme="minorHAnsi" w:hAnsiTheme="minorHAnsi" w:cstheme="minorHAnsi"/>
          <w:sz w:val="21"/>
          <w:szCs w:val="21"/>
        </w:rPr>
        <w:t>eceitas patrimoniais</w:t>
      </w:r>
      <w:r>
        <w:rPr>
          <w:rFonts w:asciiTheme="minorHAnsi" w:hAnsiTheme="minorHAnsi" w:cstheme="minorHAnsi"/>
          <w:sz w:val="21"/>
          <w:szCs w:val="21"/>
        </w:rPr>
        <w:t>,</w:t>
      </w:r>
      <w:r w:rsidR="00F93573">
        <w:rPr>
          <w:rFonts w:asciiTheme="minorHAnsi" w:hAnsiTheme="minorHAnsi" w:cstheme="minorHAnsi"/>
          <w:sz w:val="21"/>
          <w:szCs w:val="21"/>
        </w:rPr>
        <w:t xml:space="preserve"> demonstra-se uma diferença altamente significativa de aproximadamente 90% de aumento. Isso se deve as receitas de rendimentos de aplicações financeiras do RPPS, que </w:t>
      </w:r>
      <w:proofErr w:type="gramStart"/>
      <w:r w:rsidR="00F93573">
        <w:rPr>
          <w:rFonts w:asciiTheme="minorHAnsi" w:hAnsiTheme="minorHAnsi" w:cstheme="minorHAnsi"/>
          <w:sz w:val="21"/>
          <w:szCs w:val="21"/>
        </w:rPr>
        <w:t>encontravam-se</w:t>
      </w:r>
      <w:proofErr w:type="gramEnd"/>
      <w:r w:rsidR="00F93573">
        <w:rPr>
          <w:rFonts w:asciiTheme="minorHAnsi" w:hAnsiTheme="minorHAnsi" w:cstheme="minorHAnsi"/>
          <w:sz w:val="21"/>
          <w:szCs w:val="21"/>
        </w:rPr>
        <w:t xml:space="preserve"> em queda nos anos anteriores, voltando a crescer no exercício de 2019.</w:t>
      </w:r>
    </w:p>
    <w:p w:rsidR="00F93573" w:rsidRPr="00EA0188" w:rsidRDefault="00F93573" w:rsidP="0025260F">
      <w:pPr>
        <w:ind w:firstLine="708"/>
        <w:jc w:val="both"/>
        <w:rPr>
          <w:rFonts w:asciiTheme="minorHAnsi" w:hAnsiTheme="minorHAnsi" w:cstheme="minorHAnsi"/>
          <w:sz w:val="21"/>
          <w:szCs w:val="21"/>
        </w:rPr>
      </w:pPr>
    </w:p>
    <w:p w:rsidR="00517117" w:rsidRDefault="0025260F" w:rsidP="00517117">
      <w:pPr>
        <w:pStyle w:val="Corpodetexto"/>
        <w:rPr>
          <w:rFonts w:asciiTheme="minorHAnsi" w:hAnsiTheme="minorHAnsi" w:cstheme="minorHAnsi"/>
          <w:sz w:val="21"/>
          <w:szCs w:val="21"/>
        </w:rPr>
      </w:pPr>
      <w:r w:rsidRPr="00EA0188">
        <w:rPr>
          <w:rFonts w:asciiTheme="minorHAnsi" w:hAnsiTheme="minorHAnsi" w:cstheme="minorHAnsi"/>
          <w:sz w:val="21"/>
          <w:szCs w:val="21"/>
        </w:rPr>
        <w:tab/>
        <w:t>- Receitas de Transferências: nas principais receitas que alimentam essa font</w:t>
      </w:r>
      <w:r w:rsidR="00517117">
        <w:rPr>
          <w:rFonts w:asciiTheme="minorHAnsi" w:hAnsiTheme="minorHAnsi" w:cstheme="minorHAnsi"/>
          <w:sz w:val="21"/>
          <w:szCs w:val="21"/>
        </w:rPr>
        <w:t xml:space="preserve">e, as expectativas apontam para um crescimento de 5,4% na arrecadação de FPM, de 5,6% na arrecadação de ICMS e de 3,9% na arrecadação de IPVA, conforme previsão fornecida pela FEDERAÇÃO DAS ASSOCIAÇÕES DE MUNICÍPIOS DO RIO GRANDE DO SUL - FAMURS. </w:t>
      </w:r>
    </w:p>
    <w:p w:rsidR="00517117" w:rsidRDefault="00517117" w:rsidP="00517117">
      <w:pPr>
        <w:pStyle w:val="Corpodetexto"/>
        <w:rPr>
          <w:rFonts w:asciiTheme="minorHAnsi" w:hAnsiTheme="minorHAnsi" w:cstheme="minorHAnsi"/>
          <w:sz w:val="21"/>
          <w:szCs w:val="21"/>
        </w:rPr>
      </w:pPr>
    </w:p>
    <w:p w:rsidR="00517117" w:rsidRPr="00EA0188" w:rsidRDefault="00517117" w:rsidP="00517117">
      <w:pPr>
        <w:pStyle w:val="Corpodetexto"/>
        <w:ind w:firstLine="708"/>
        <w:rPr>
          <w:rFonts w:asciiTheme="minorHAnsi" w:hAnsiTheme="minorHAnsi" w:cstheme="minorHAnsi"/>
          <w:sz w:val="21"/>
          <w:szCs w:val="21"/>
        </w:rPr>
      </w:pPr>
      <w:r>
        <w:rPr>
          <w:rFonts w:asciiTheme="minorHAnsi" w:hAnsiTheme="minorHAnsi" w:cstheme="minorHAnsi"/>
          <w:sz w:val="21"/>
          <w:szCs w:val="21"/>
        </w:rPr>
        <w:t>Cabe salientar que houve um crescimento significativo na receita de ICMS, em virtude do aumento em nosso Índice de Participação dos Municípios de 0,278095 (IPM provisório disponibilizado pela FAMURS para projeção 2019) para 0,298320 resultando num incremento de aproximadamente R$ 1.900.000,00.</w:t>
      </w:r>
    </w:p>
    <w:p w:rsidR="00E93CC1" w:rsidRPr="00EA0188" w:rsidRDefault="00E93CC1" w:rsidP="0025260F">
      <w:pPr>
        <w:pStyle w:val="Recuodecorpodetexto"/>
        <w:spacing w:before="0" w:after="0" w:line="240" w:lineRule="auto"/>
        <w:ind w:left="0"/>
        <w:rPr>
          <w:rFonts w:asciiTheme="minorHAnsi" w:hAnsiTheme="minorHAnsi" w:cstheme="minorHAnsi"/>
          <w:sz w:val="21"/>
          <w:szCs w:val="21"/>
        </w:rPr>
      </w:pPr>
    </w:p>
    <w:p w:rsidR="00A66E16" w:rsidRPr="00EA0188" w:rsidRDefault="0025260F" w:rsidP="00517117">
      <w:pPr>
        <w:pStyle w:val="Recuodecorpodetexto"/>
        <w:spacing w:before="0" w:after="0" w:line="240" w:lineRule="auto"/>
        <w:ind w:left="0"/>
        <w:rPr>
          <w:rFonts w:asciiTheme="minorHAnsi" w:hAnsiTheme="minorHAnsi" w:cstheme="minorHAnsi"/>
          <w:sz w:val="21"/>
          <w:szCs w:val="21"/>
        </w:rPr>
      </w:pPr>
      <w:r w:rsidRPr="00EA0188">
        <w:rPr>
          <w:rFonts w:asciiTheme="minorHAnsi" w:hAnsiTheme="minorHAnsi" w:cstheme="minorHAnsi"/>
          <w:sz w:val="21"/>
          <w:szCs w:val="21"/>
        </w:rPr>
        <w:tab/>
      </w:r>
      <w:r w:rsidR="00CD5D27">
        <w:rPr>
          <w:rFonts w:asciiTheme="minorHAnsi" w:hAnsiTheme="minorHAnsi" w:cstheme="minorHAnsi"/>
          <w:sz w:val="21"/>
          <w:szCs w:val="21"/>
        </w:rPr>
        <w:t xml:space="preserve">- Em relação </w:t>
      </w:r>
      <w:r w:rsidR="00D90960">
        <w:rPr>
          <w:rFonts w:asciiTheme="minorHAnsi" w:hAnsiTheme="minorHAnsi" w:cstheme="minorHAnsi"/>
          <w:sz w:val="21"/>
          <w:szCs w:val="21"/>
        </w:rPr>
        <w:t>às</w:t>
      </w:r>
      <w:r w:rsidR="00CD5D27">
        <w:rPr>
          <w:rFonts w:asciiTheme="minorHAnsi" w:hAnsiTheme="minorHAnsi" w:cstheme="minorHAnsi"/>
          <w:sz w:val="21"/>
          <w:szCs w:val="21"/>
        </w:rPr>
        <w:t xml:space="preserve"> Transferência</w:t>
      </w:r>
      <w:r w:rsidR="00D90960">
        <w:rPr>
          <w:rFonts w:asciiTheme="minorHAnsi" w:hAnsiTheme="minorHAnsi" w:cstheme="minorHAnsi"/>
          <w:sz w:val="21"/>
          <w:szCs w:val="21"/>
        </w:rPr>
        <w:t>s</w:t>
      </w:r>
      <w:r w:rsidR="00CD5D27">
        <w:rPr>
          <w:rFonts w:asciiTheme="minorHAnsi" w:hAnsiTheme="minorHAnsi" w:cstheme="minorHAnsi"/>
          <w:sz w:val="21"/>
          <w:szCs w:val="21"/>
        </w:rPr>
        <w:t xml:space="preserve"> do </w:t>
      </w:r>
      <w:r w:rsidR="00F93573">
        <w:rPr>
          <w:rFonts w:asciiTheme="minorHAnsi" w:hAnsiTheme="minorHAnsi" w:cstheme="minorHAnsi"/>
          <w:sz w:val="21"/>
          <w:szCs w:val="21"/>
        </w:rPr>
        <w:t>FUNDEB</w:t>
      </w:r>
      <w:r w:rsidR="00CD5D27">
        <w:rPr>
          <w:rFonts w:asciiTheme="minorHAnsi" w:hAnsiTheme="minorHAnsi" w:cstheme="minorHAnsi"/>
          <w:sz w:val="21"/>
          <w:szCs w:val="21"/>
        </w:rPr>
        <w:t>, houve uma redução na estimativa de arrecadação, considerando-se que a receita prevista para 2019 pode não se cumprir.</w:t>
      </w:r>
    </w:p>
    <w:p w:rsidR="0025260F" w:rsidRPr="00EA0188" w:rsidRDefault="0025260F" w:rsidP="0025260F">
      <w:pPr>
        <w:pStyle w:val="PAR01"/>
        <w:tabs>
          <w:tab w:val="left" w:pos="708"/>
        </w:tabs>
        <w:rPr>
          <w:rFonts w:asciiTheme="minorHAnsi" w:hAnsiTheme="minorHAnsi" w:cstheme="minorHAnsi"/>
          <w:sz w:val="21"/>
          <w:szCs w:val="21"/>
        </w:rPr>
      </w:pPr>
      <w:r w:rsidRPr="00EA0188">
        <w:rPr>
          <w:rFonts w:asciiTheme="minorHAnsi" w:hAnsiTheme="minorHAnsi" w:cstheme="minorHAnsi"/>
          <w:sz w:val="21"/>
          <w:szCs w:val="21"/>
        </w:rPr>
        <w:tab/>
      </w:r>
    </w:p>
    <w:p w:rsidR="0025260F" w:rsidRPr="00EA0188" w:rsidRDefault="0025260F" w:rsidP="0025260F">
      <w:pPr>
        <w:pStyle w:val="PAR01"/>
        <w:tabs>
          <w:tab w:val="left" w:pos="708"/>
        </w:tabs>
        <w:rPr>
          <w:rFonts w:asciiTheme="minorHAnsi" w:hAnsiTheme="minorHAnsi" w:cstheme="minorHAnsi"/>
          <w:sz w:val="21"/>
          <w:szCs w:val="21"/>
        </w:rPr>
      </w:pPr>
      <w:r w:rsidRPr="00EA0188">
        <w:rPr>
          <w:rFonts w:asciiTheme="minorHAnsi" w:hAnsiTheme="minorHAnsi" w:cstheme="minorHAnsi"/>
          <w:sz w:val="21"/>
          <w:szCs w:val="21"/>
        </w:rPr>
        <w:t xml:space="preserve"> </w:t>
      </w:r>
      <w:r w:rsidRPr="00EA0188">
        <w:rPr>
          <w:rFonts w:asciiTheme="minorHAnsi" w:hAnsiTheme="minorHAnsi" w:cstheme="minorHAnsi"/>
          <w:sz w:val="21"/>
          <w:szCs w:val="21"/>
        </w:rPr>
        <w:tab/>
        <w:t xml:space="preserve"> - </w:t>
      </w:r>
      <w:r w:rsidR="00CD5D27">
        <w:rPr>
          <w:rFonts w:asciiTheme="minorHAnsi" w:hAnsiTheme="minorHAnsi" w:cstheme="minorHAnsi"/>
          <w:sz w:val="21"/>
          <w:szCs w:val="21"/>
        </w:rPr>
        <w:t xml:space="preserve">Quanto às Transferências </w:t>
      </w:r>
      <w:r w:rsidRPr="00EA0188">
        <w:rPr>
          <w:rFonts w:asciiTheme="minorHAnsi" w:hAnsiTheme="minorHAnsi" w:cstheme="minorHAnsi"/>
          <w:sz w:val="21"/>
          <w:szCs w:val="21"/>
        </w:rPr>
        <w:t xml:space="preserve">do SUS, repassadas pelo Fundo Nacional de Saúde e Fundo Estadual de Saúde, bem como as destinadas à Assistência Social, repassadas pelo Fundo Nacional e </w:t>
      </w:r>
      <w:r w:rsidRPr="00EA0188">
        <w:rPr>
          <w:rFonts w:asciiTheme="minorHAnsi" w:hAnsiTheme="minorHAnsi" w:cstheme="minorHAnsi"/>
          <w:sz w:val="21"/>
          <w:szCs w:val="21"/>
        </w:rPr>
        <w:lastRenderedPageBreak/>
        <w:t>Estadual e Assistência Social</w:t>
      </w:r>
      <w:r w:rsidR="00CD5D27">
        <w:rPr>
          <w:rFonts w:asciiTheme="minorHAnsi" w:hAnsiTheme="minorHAnsi" w:cstheme="minorHAnsi"/>
          <w:sz w:val="21"/>
          <w:szCs w:val="21"/>
        </w:rPr>
        <w:t>, a</w:t>
      </w:r>
      <w:r w:rsidRPr="00EA0188">
        <w:rPr>
          <w:rFonts w:asciiTheme="minorHAnsi" w:hAnsiTheme="minorHAnsi" w:cstheme="minorHAnsi"/>
          <w:sz w:val="21"/>
          <w:szCs w:val="21"/>
        </w:rPr>
        <w:t>s previsões apontam para uma estabilidade, ou seja, o valor a ser repa</w:t>
      </w:r>
      <w:r w:rsidR="00265F33" w:rsidRPr="00EA0188">
        <w:rPr>
          <w:rFonts w:asciiTheme="minorHAnsi" w:hAnsiTheme="minorHAnsi" w:cstheme="minorHAnsi"/>
          <w:sz w:val="21"/>
          <w:szCs w:val="21"/>
        </w:rPr>
        <w:t>ssado nos próximos anos tende a</w:t>
      </w:r>
      <w:r w:rsidRPr="00EA0188">
        <w:rPr>
          <w:rFonts w:asciiTheme="minorHAnsi" w:hAnsiTheme="minorHAnsi" w:cstheme="minorHAnsi"/>
          <w:sz w:val="21"/>
          <w:szCs w:val="21"/>
        </w:rPr>
        <w:t xml:space="preserve"> manter-se nos mesmos patamares de 201</w:t>
      </w:r>
      <w:r w:rsidR="00517117">
        <w:rPr>
          <w:rFonts w:asciiTheme="minorHAnsi" w:hAnsiTheme="minorHAnsi" w:cstheme="minorHAnsi"/>
          <w:sz w:val="21"/>
          <w:szCs w:val="21"/>
        </w:rPr>
        <w:t>9</w:t>
      </w:r>
      <w:r w:rsidRPr="00EA0188">
        <w:rPr>
          <w:rFonts w:asciiTheme="minorHAnsi" w:hAnsiTheme="minorHAnsi" w:cstheme="minorHAnsi"/>
          <w:sz w:val="21"/>
          <w:szCs w:val="21"/>
        </w:rPr>
        <w:t>.</w:t>
      </w:r>
    </w:p>
    <w:p w:rsidR="0025260F" w:rsidRPr="00EA0188" w:rsidRDefault="0025260F" w:rsidP="0025260F">
      <w:pPr>
        <w:pStyle w:val="Recuodecorpodetexto2"/>
        <w:rPr>
          <w:rFonts w:asciiTheme="minorHAnsi" w:hAnsiTheme="minorHAnsi" w:cstheme="minorHAnsi"/>
          <w:sz w:val="21"/>
          <w:szCs w:val="21"/>
        </w:rPr>
      </w:pPr>
    </w:p>
    <w:p w:rsidR="0025260F" w:rsidRPr="00EA0188" w:rsidRDefault="0025260F" w:rsidP="0025260F">
      <w:pPr>
        <w:pStyle w:val="Recuodecorpodetexto2"/>
        <w:ind w:left="0"/>
        <w:rPr>
          <w:rFonts w:asciiTheme="minorHAnsi" w:hAnsiTheme="minorHAnsi" w:cstheme="minorHAnsi"/>
          <w:sz w:val="21"/>
          <w:szCs w:val="21"/>
        </w:rPr>
      </w:pPr>
      <w:r w:rsidRPr="00EA0188">
        <w:rPr>
          <w:rFonts w:asciiTheme="minorHAnsi" w:hAnsiTheme="minorHAnsi" w:cstheme="minorHAnsi"/>
          <w:sz w:val="21"/>
          <w:szCs w:val="21"/>
        </w:rPr>
        <w:t xml:space="preserve"> </w:t>
      </w:r>
      <w:r w:rsidRPr="00EA0188">
        <w:rPr>
          <w:rFonts w:asciiTheme="minorHAnsi" w:hAnsiTheme="minorHAnsi" w:cstheme="minorHAnsi"/>
          <w:sz w:val="21"/>
          <w:szCs w:val="21"/>
        </w:rPr>
        <w:tab/>
        <w:t>- Para as outras transferências legais (CI</w:t>
      </w:r>
      <w:r w:rsidR="00265F33" w:rsidRPr="00EA0188">
        <w:rPr>
          <w:rFonts w:asciiTheme="minorHAnsi" w:hAnsiTheme="minorHAnsi" w:cstheme="minorHAnsi"/>
          <w:sz w:val="21"/>
          <w:szCs w:val="21"/>
        </w:rPr>
        <w:t>DE, F</w:t>
      </w:r>
      <w:r w:rsidR="00CD5D27">
        <w:rPr>
          <w:rFonts w:asciiTheme="minorHAnsi" w:hAnsiTheme="minorHAnsi" w:cstheme="minorHAnsi"/>
          <w:sz w:val="21"/>
          <w:szCs w:val="21"/>
        </w:rPr>
        <w:t>EX</w:t>
      </w:r>
      <w:r w:rsidR="00265F33" w:rsidRPr="00EA0188">
        <w:rPr>
          <w:rFonts w:asciiTheme="minorHAnsi" w:hAnsiTheme="minorHAnsi" w:cstheme="minorHAnsi"/>
          <w:sz w:val="21"/>
          <w:szCs w:val="21"/>
        </w:rPr>
        <w:t xml:space="preserve">, FNDE, FNAS e outras), </w:t>
      </w:r>
      <w:r w:rsidRPr="00EA0188">
        <w:rPr>
          <w:rFonts w:asciiTheme="minorHAnsi" w:hAnsiTheme="minorHAnsi" w:cstheme="minorHAnsi"/>
          <w:sz w:val="21"/>
          <w:szCs w:val="21"/>
        </w:rPr>
        <w:t>a perspectiva é de estabilidade, ou seja, prevê-se uma variação em função dos índices inflacionários ou acompanhando a variação das receitas da União.</w:t>
      </w:r>
    </w:p>
    <w:p w:rsidR="0025260F" w:rsidRPr="00EA0188" w:rsidRDefault="0025260F" w:rsidP="0025260F">
      <w:pPr>
        <w:pStyle w:val="PAR01"/>
        <w:tabs>
          <w:tab w:val="left" w:pos="708"/>
        </w:tabs>
        <w:rPr>
          <w:rFonts w:asciiTheme="minorHAnsi" w:hAnsiTheme="minorHAnsi" w:cstheme="minorHAnsi"/>
          <w:sz w:val="21"/>
          <w:szCs w:val="21"/>
        </w:rPr>
      </w:pPr>
      <w:r w:rsidRPr="00EA0188">
        <w:rPr>
          <w:rFonts w:asciiTheme="minorHAnsi" w:hAnsiTheme="minorHAnsi" w:cstheme="minorHAnsi"/>
          <w:sz w:val="21"/>
          <w:szCs w:val="21"/>
        </w:rPr>
        <w:t xml:space="preserve"> </w:t>
      </w:r>
    </w:p>
    <w:p w:rsidR="0025260F" w:rsidRPr="00EA0188" w:rsidRDefault="0025260F" w:rsidP="0025260F">
      <w:pPr>
        <w:pStyle w:val="PAR01"/>
        <w:tabs>
          <w:tab w:val="left" w:pos="708"/>
        </w:tabs>
        <w:rPr>
          <w:rFonts w:asciiTheme="minorHAnsi" w:hAnsiTheme="minorHAnsi" w:cstheme="minorHAnsi"/>
          <w:sz w:val="21"/>
          <w:szCs w:val="21"/>
        </w:rPr>
      </w:pPr>
      <w:r w:rsidRPr="00EA0188">
        <w:rPr>
          <w:rFonts w:asciiTheme="minorHAnsi" w:hAnsiTheme="minorHAnsi" w:cstheme="minorHAnsi"/>
          <w:sz w:val="21"/>
          <w:szCs w:val="21"/>
        </w:rPr>
        <w:t xml:space="preserve"> </w:t>
      </w:r>
      <w:r w:rsidRPr="00EA0188">
        <w:rPr>
          <w:rFonts w:asciiTheme="minorHAnsi" w:hAnsiTheme="minorHAnsi" w:cstheme="minorHAnsi"/>
          <w:sz w:val="21"/>
          <w:szCs w:val="21"/>
        </w:rPr>
        <w:tab/>
        <w:t>- Nas transferências voluntárias correntes e de capital, realizadas em função de auxílios, convênios e contratos de repasse, a expectativa é que sejam mantidos os</w:t>
      </w:r>
      <w:r w:rsidR="004D20FE" w:rsidRPr="00EA0188">
        <w:rPr>
          <w:rFonts w:asciiTheme="minorHAnsi" w:hAnsiTheme="minorHAnsi" w:cstheme="minorHAnsi"/>
          <w:sz w:val="21"/>
          <w:szCs w:val="21"/>
        </w:rPr>
        <w:t xml:space="preserve"> ní</w:t>
      </w:r>
      <w:r w:rsidR="00E27722" w:rsidRPr="00EA0188">
        <w:rPr>
          <w:rFonts w:asciiTheme="minorHAnsi" w:hAnsiTheme="minorHAnsi" w:cstheme="minorHAnsi"/>
          <w:sz w:val="21"/>
          <w:szCs w:val="21"/>
        </w:rPr>
        <w:t>veis hierárquicos recentes</w:t>
      </w:r>
      <w:r w:rsidRPr="00EA0188">
        <w:rPr>
          <w:rFonts w:asciiTheme="minorHAnsi" w:hAnsiTheme="minorHAnsi" w:cstheme="minorHAnsi"/>
          <w:sz w:val="21"/>
          <w:szCs w:val="21"/>
        </w:rPr>
        <w:t xml:space="preserve">. </w:t>
      </w:r>
    </w:p>
    <w:sectPr w:rsidR="0025260F" w:rsidRPr="00EA0188" w:rsidSect="00F93573">
      <w:pgSz w:w="11906" w:h="16838"/>
      <w:pgMar w:top="851"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0F"/>
    <w:rsid w:val="00036BD6"/>
    <w:rsid w:val="000C331B"/>
    <w:rsid w:val="00115BAB"/>
    <w:rsid w:val="001E4FFF"/>
    <w:rsid w:val="00243B6E"/>
    <w:rsid w:val="0025260F"/>
    <w:rsid w:val="00265F33"/>
    <w:rsid w:val="002872D9"/>
    <w:rsid w:val="002D391F"/>
    <w:rsid w:val="002F2261"/>
    <w:rsid w:val="003752EB"/>
    <w:rsid w:val="00381CAA"/>
    <w:rsid w:val="003A00F5"/>
    <w:rsid w:val="003B690A"/>
    <w:rsid w:val="003E708F"/>
    <w:rsid w:val="003F664F"/>
    <w:rsid w:val="00421D04"/>
    <w:rsid w:val="00431134"/>
    <w:rsid w:val="0045349D"/>
    <w:rsid w:val="004D20FE"/>
    <w:rsid w:val="004E5D2D"/>
    <w:rsid w:val="00517117"/>
    <w:rsid w:val="005F26EA"/>
    <w:rsid w:val="00676E99"/>
    <w:rsid w:val="006B11DC"/>
    <w:rsid w:val="0070737F"/>
    <w:rsid w:val="007F5838"/>
    <w:rsid w:val="00867BAD"/>
    <w:rsid w:val="008A76FF"/>
    <w:rsid w:val="008D1A27"/>
    <w:rsid w:val="00A24097"/>
    <w:rsid w:val="00A66E16"/>
    <w:rsid w:val="00A709E4"/>
    <w:rsid w:val="00AD6174"/>
    <w:rsid w:val="00B24FC3"/>
    <w:rsid w:val="00BD07D7"/>
    <w:rsid w:val="00C32617"/>
    <w:rsid w:val="00C433BF"/>
    <w:rsid w:val="00C8008A"/>
    <w:rsid w:val="00CD5D27"/>
    <w:rsid w:val="00CF629D"/>
    <w:rsid w:val="00D0202B"/>
    <w:rsid w:val="00D90960"/>
    <w:rsid w:val="00DF2BA7"/>
    <w:rsid w:val="00E27722"/>
    <w:rsid w:val="00E635BF"/>
    <w:rsid w:val="00E745D7"/>
    <w:rsid w:val="00E93CC1"/>
    <w:rsid w:val="00EA0188"/>
    <w:rsid w:val="00F0073C"/>
    <w:rsid w:val="00F05C7D"/>
    <w:rsid w:val="00F34626"/>
    <w:rsid w:val="00F61193"/>
    <w:rsid w:val="00F93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60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aliases w:val="Quote Char"/>
    <w:basedOn w:val="Fontepargpadro"/>
    <w:link w:val="Corpodetexto"/>
    <w:locked/>
    <w:rsid w:val="0025260F"/>
    <w:rPr>
      <w:rFonts w:ascii="Arial" w:eastAsia="Times New Roman" w:hAnsi="Arial" w:cs="Times New Roman"/>
      <w:sz w:val="24"/>
      <w:szCs w:val="20"/>
      <w:lang w:eastAsia="pt-BR"/>
    </w:rPr>
  </w:style>
  <w:style w:type="paragraph" w:styleId="Corpodetexto">
    <w:name w:val="Body Text"/>
    <w:aliases w:val="Quote"/>
    <w:basedOn w:val="Normal"/>
    <w:link w:val="CorpodetextoChar"/>
    <w:unhideWhenUsed/>
    <w:rsid w:val="0025260F"/>
    <w:pPr>
      <w:jc w:val="both"/>
    </w:pPr>
    <w:rPr>
      <w:rFonts w:ascii="Arial" w:hAnsi="Arial"/>
      <w:sz w:val="24"/>
    </w:rPr>
  </w:style>
  <w:style w:type="character" w:customStyle="1" w:styleId="CorpodetextoChar1">
    <w:name w:val="Corpo de texto Char1"/>
    <w:basedOn w:val="Fontepargpadro"/>
    <w:uiPriority w:val="99"/>
    <w:semiHidden/>
    <w:rsid w:val="0025260F"/>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25260F"/>
    <w:pPr>
      <w:autoSpaceDE w:val="0"/>
      <w:spacing w:before="120" w:after="120" w:line="360" w:lineRule="auto"/>
      <w:ind w:left="1416"/>
      <w:jc w:val="both"/>
    </w:pPr>
    <w:rPr>
      <w:rFonts w:ascii="Arial" w:eastAsia="Helvetica" w:hAnsi="Arial"/>
      <w:color w:val="000000"/>
      <w:sz w:val="22"/>
    </w:rPr>
  </w:style>
  <w:style w:type="character" w:customStyle="1" w:styleId="RecuodecorpodetextoChar">
    <w:name w:val="Recuo de corpo de texto Char"/>
    <w:basedOn w:val="Fontepargpadro"/>
    <w:link w:val="Recuodecorpodetexto"/>
    <w:rsid w:val="0025260F"/>
    <w:rPr>
      <w:rFonts w:ascii="Arial" w:eastAsia="Helvetica" w:hAnsi="Arial" w:cs="Times New Roman"/>
      <w:color w:val="000000"/>
      <w:szCs w:val="20"/>
      <w:lang w:eastAsia="pt-BR"/>
    </w:rPr>
  </w:style>
  <w:style w:type="paragraph" w:styleId="Recuodecorpodetexto2">
    <w:name w:val="Body Text Indent 2"/>
    <w:basedOn w:val="Normal"/>
    <w:link w:val="Recuodecorpodetexto2Char"/>
    <w:semiHidden/>
    <w:unhideWhenUsed/>
    <w:rsid w:val="0025260F"/>
    <w:pPr>
      <w:snapToGrid w:val="0"/>
      <w:ind w:left="1416"/>
      <w:jc w:val="both"/>
    </w:pPr>
    <w:rPr>
      <w:rFonts w:ascii="Arial" w:hAnsi="Arial"/>
      <w:sz w:val="22"/>
    </w:rPr>
  </w:style>
  <w:style w:type="character" w:customStyle="1" w:styleId="Recuodecorpodetexto2Char">
    <w:name w:val="Recuo de corpo de texto 2 Char"/>
    <w:basedOn w:val="Fontepargpadro"/>
    <w:link w:val="Recuodecorpodetexto2"/>
    <w:semiHidden/>
    <w:rsid w:val="0025260F"/>
    <w:rPr>
      <w:rFonts w:ascii="Arial" w:eastAsia="Times New Roman" w:hAnsi="Arial" w:cs="Times New Roman"/>
      <w:szCs w:val="20"/>
      <w:lang w:eastAsia="pt-BR"/>
    </w:rPr>
  </w:style>
  <w:style w:type="paragraph" w:customStyle="1" w:styleId="Corpodetexto21">
    <w:name w:val="Corpo de texto 21"/>
    <w:basedOn w:val="Normal"/>
    <w:rsid w:val="0025260F"/>
    <w:pPr>
      <w:tabs>
        <w:tab w:val="left" w:pos="4253"/>
      </w:tabs>
      <w:spacing w:before="120" w:line="360" w:lineRule="auto"/>
      <w:jc w:val="both"/>
    </w:pPr>
    <w:rPr>
      <w:rFonts w:ascii="Arial" w:hAnsi="Arial"/>
      <w:sz w:val="22"/>
    </w:rPr>
  </w:style>
  <w:style w:type="paragraph" w:customStyle="1" w:styleId="PAR01">
    <w:name w:val="PAR01"/>
    <w:basedOn w:val="Normal"/>
    <w:rsid w:val="0025260F"/>
    <w:pPr>
      <w:tabs>
        <w:tab w:val="left" w:leader="dot" w:pos="14459"/>
      </w:tabs>
      <w:jc w:val="both"/>
    </w:pPr>
  </w:style>
  <w:style w:type="paragraph" w:styleId="Textodebalo">
    <w:name w:val="Balloon Text"/>
    <w:basedOn w:val="Normal"/>
    <w:link w:val="TextodebaloChar"/>
    <w:uiPriority w:val="99"/>
    <w:semiHidden/>
    <w:unhideWhenUsed/>
    <w:rsid w:val="00CF629D"/>
    <w:rPr>
      <w:rFonts w:ascii="Tahoma" w:hAnsi="Tahoma" w:cs="Tahoma"/>
      <w:sz w:val="16"/>
      <w:szCs w:val="16"/>
    </w:rPr>
  </w:style>
  <w:style w:type="character" w:customStyle="1" w:styleId="TextodebaloChar">
    <w:name w:val="Texto de balão Char"/>
    <w:basedOn w:val="Fontepargpadro"/>
    <w:link w:val="Textodebalo"/>
    <w:uiPriority w:val="99"/>
    <w:semiHidden/>
    <w:rsid w:val="00CF629D"/>
    <w:rPr>
      <w:rFonts w:ascii="Tahoma" w:eastAsia="Times New Roman" w:hAnsi="Tahoma" w:cs="Tahoma"/>
      <w:sz w:val="16"/>
      <w:szCs w:val="16"/>
      <w:lang w:eastAsia="pt-BR"/>
    </w:rPr>
  </w:style>
  <w:style w:type="character" w:styleId="Hyperlink">
    <w:name w:val="Hyperlink"/>
    <w:basedOn w:val="Fontepargpadro"/>
    <w:uiPriority w:val="99"/>
    <w:unhideWhenUsed/>
    <w:rsid w:val="00036B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60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aliases w:val="Quote Char"/>
    <w:basedOn w:val="Fontepargpadro"/>
    <w:link w:val="Corpodetexto"/>
    <w:locked/>
    <w:rsid w:val="0025260F"/>
    <w:rPr>
      <w:rFonts w:ascii="Arial" w:eastAsia="Times New Roman" w:hAnsi="Arial" w:cs="Times New Roman"/>
      <w:sz w:val="24"/>
      <w:szCs w:val="20"/>
      <w:lang w:eastAsia="pt-BR"/>
    </w:rPr>
  </w:style>
  <w:style w:type="paragraph" w:styleId="Corpodetexto">
    <w:name w:val="Body Text"/>
    <w:aliases w:val="Quote"/>
    <w:basedOn w:val="Normal"/>
    <w:link w:val="CorpodetextoChar"/>
    <w:unhideWhenUsed/>
    <w:rsid w:val="0025260F"/>
    <w:pPr>
      <w:jc w:val="both"/>
    </w:pPr>
    <w:rPr>
      <w:rFonts w:ascii="Arial" w:hAnsi="Arial"/>
      <w:sz w:val="24"/>
    </w:rPr>
  </w:style>
  <w:style w:type="character" w:customStyle="1" w:styleId="CorpodetextoChar1">
    <w:name w:val="Corpo de texto Char1"/>
    <w:basedOn w:val="Fontepargpadro"/>
    <w:uiPriority w:val="99"/>
    <w:semiHidden/>
    <w:rsid w:val="0025260F"/>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25260F"/>
    <w:pPr>
      <w:autoSpaceDE w:val="0"/>
      <w:spacing w:before="120" w:after="120" w:line="360" w:lineRule="auto"/>
      <w:ind w:left="1416"/>
      <w:jc w:val="both"/>
    </w:pPr>
    <w:rPr>
      <w:rFonts w:ascii="Arial" w:eastAsia="Helvetica" w:hAnsi="Arial"/>
      <w:color w:val="000000"/>
      <w:sz w:val="22"/>
    </w:rPr>
  </w:style>
  <w:style w:type="character" w:customStyle="1" w:styleId="RecuodecorpodetextoChar">
    <w:name w:val="Recuo de corpo de texto Char"/>
    <w:basedOn w:val="Fontepargpadro"/>
    <w:link w:val="Recuodecorpodetexto"/>
    <w:rsid w:val="0025260F"/>
    <w:rPr>
      <w:rFonts w:ascii="Arial" w:eastAsia="Helvetica" w:hAnsi="Arial" w:cs="Times New Roman"/>
      <w:color w:val="000000"/>
      <w:szCs w:val="20"/>
      <w:lang w:eastAsia="pt-BR"/>
    </w:rPr>
  </w:style>
  <w:style w:type="paragraph" w:styleId="Recuodecorpodetexto2">
    <w:name w:val="Body Text Indent 2"/>
    <w:basedOn w:val="Normal"/>
    <w:link w:val="Recuodecorpodetexto2Char"/>
    <w:semiHidden/>
    <w:unhideWhenUsed/>
    <w:rsid w:val="0025260F"/>
    <w:pPr>
      <w:snapToGrid w:val="0"/>
      <w:ind w:left="1416"/>
      <w:jc w:val="both"/>
    </w:pPr>
    <w:rPr>
      <w:rFonts w:ascii="Arial" w:hAnsi="Arial"/>
      <w:sz w:val="22"/>
    </w:rPr>
  </w:style>
  <w:style w:type="character" w:customStyle="1" w:styleId="Recuodecorpodetexto2Char">
    <w:name w:val="Recuo de corpo de texto 2 Char"/>
    <w:basedOn w:val="Fontepargpadro"/>
    <w:link w:val="Recuodecorpodetexto2"/>
    <w:semiHidden/>
    <w:rsid w:val="0025260F"/>
    <w:rPr>
      <w:rFonts w:ascii="Arial" w:eastAsia="Times New Roman" w:hAnsi="Arial" w:cs="Times New Roman"/>
      <w:szCs w:val="20"/>
      <w:lang w:eastAsia="pt-BR"/>
    </w:rPr>
  </w:style>
  <w:style w:type="paragraph" w:customStyle="1" w:styleId="Corpodetexto21">
    <w:name w:val="Corpo de texto 21"/>
    <w:basedOn w:val="Normal"/>
    <w:rsid w:val="0025260F"/>
    <w:pPr>
      <w:tabs>
        <w:tab w:val="left" w:pos="4253"/>
      </w:tabs>
      <w:spacing w:before="120" w:line="360" w:lineRule="auto"/>
      <w:jc w:val="both"/>
    </w:pPr>
    <w:rPr>
      <w:rFonts w:ascii="Arial" w:hAnsi="Arial"/>
      <w:sz w:val="22"/>
    </w:rPr>
  </w:style>
  <w:style w:type="paragraph" w:customStyle="1" w:styleId="PAR01">
    <w:name w:val="PAR01"/>
    <w:basedOn w:val="Normal"/>
    <w:rsid w:val="0025260F"/>
    <w:pPr>
      <w:tabs>
        <w:tab w:val="left" w:leader="dot" w:pos="14459"/>
      </w:tabs>
      <w:jc w:val="both"/>
    </w:pPr>
  </w:style>
  <w:style w:type="paragraph" w:styleId="Textodebalo">
    <w:name w:val="Balloon Text"/>
    <w:basedOn w:val="Normal"/>
    <w:link w:val="TextodebaloChar"/>
    <w:uiPriority w:val="99"/>
    <w:semiHidden/>
    <w:unhideWhenUsed/>
    <w:rsid w:val="00CF629D"/>
    <w:rPr>
      <w:rFonts w:ascii="Tahoma" w:hAnsi="Tahoma" w:cs="Tahoma"/>
      <w:sz w:val="16"/>
      <w:szCs w:val="16"/>
    </w:rPr>
  </w:style>
  <w:style w:type="character" w:customStyle="1" w:styleId="TextodebaloChar">
    <w:name w:val="Texto de balão Char"/>
    <w:basedOn w:val="Fontepargpadro"/>
    <w:link w:val="Textodebalo"/>
    <w:uiPriority w:val="99"/>
    <w:semiHidden/>
    <w:rsid w:val="00CF629D"/>
    <w:rPr>
      <w:rFonts w:ascii="Tahoma" w:eastAsia="Times New Roman" w:hAnsi="Tahoma" w:cs="Tahoma"/>
      <w:sz w:val="16"/>
      <w:szCs w:val="16"/>
      <w:lang w:eastAsia="pt-BR"/>
    </w:rPr>
  </w:style>
  <w:style w:type="character" w:styleId="Hyperlink">
    <w:name w:val="Hyperlink"/>
    <w:basedOn w:val="Fontepargpadro"/>
    <w:uiPriority w:val="99"/>
    <w:unhideWhenUsed/>
    <w:rsid w:val="00036B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37859">
      <w:bodyDiv w:val="1"/>
      <w:marLeft w:val="0"/>
      <w:marRight w:val="0"/>
      <w:marTop w:val="0"/>
      <w:marBottom w:val="0"/>
      <w:divBdr>
        <w:top w:val="none" w:sz="0" w:space="0" w:color="auto"/>
        <w:left w:val="none" w:sz="0" w:space="0" w:color="auto"/>
        <w:bottom w:val="none" w:sz="0" w:space="0" w:color="auto"/>
        <w:right w:val="none" w:sz="0" w:space="0" w:color="auto"/>
      </w:divBdr>
    </w:div>
    <w:div w:id="9027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3.bcb.gov.br/expectativas/publico/consulta/serieestatistica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623</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Prefeitura Municipal</cp:lastModifiedBy>
  <cp:revision>5</cp:revision>
  <cp:lastPrinted>2019-11-13T18:12:00Z</cp:lastPrinted>
  <dcterms:created xsi:type="dcterms:W3CDTF">2019-11-12T15:45:00Z</dcterms:created>
  <dcterms:modified xsi:type="dcterms:W3CDTF">2019-11-13T18:13:00Z</dcterms:modified>
</cp:coreProperties>
</file>